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D24" w:rsidRDefault="003E758E">
      <w:pPr>
        <w:jc w:val="center"/>
      </w:pPr>
      <w:r>
        <w:rPr>
          <w:noProof/>
        </w:rPr>
        <w:drawing>
          <wp:inline distT="0" distB="0" distL="0" distR="0">
            <wp:extent cx="1600200" cy="521207"/>
            <wp:effectExtent l="0" t="0" r="0" b="0"/>
            <wp:docPr id="1" name="Picture 1" descr="Miami Dad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clogo.png"/>
                    <pic:cNvPicPr/>
                  </pic:nvPicPr>
                  <pic:blipFill>
                    <a:blip r:embed="rId6"/>
                    <a:stretch>
                      <a:fillRect/>
                    </a:stretch>
                  </pic:blipFill>
                  <pic:spPr>
                    <a:xfrm>
                      <a:off x="0" y="0"/>
                      <a:ext cx="1600200" cy="521207"/>
                    </a:xfrm>
                    <a:prstGeom prst="rect">
                      <a:avLst/>
                    </a:prstGeom>
                  </pic:spPr>
                </pic:pic>
              </a:graphicData>
            </a:graphic>
          </wp:inline>
        </w:drawing>
      </w:r>
    </w:p>
    <w:p w:rsidR="00517D24" w:rsidRDefault="003E758E">
      <w:pPr>
        <w:pStyle w:val="Heading1"/>
        <w:jc w:val="center"/>
      </w:pPr>
      <w:r>
        <w:t>Course Syllabus</w:t>
      </w:r>
    </w:p>
    <w:p w:rsidR="00517D24" w:rsidRDefault="003E758E">
      <w:pPr>
        <w:pStyle w:val="Heading2"/>
      </w:pPr>
      <w:r>
        <w:t>Course Information</w:t>
      </w:r>
    </w:p>
    <w:p w:rsidR="00517D24" w:rsidRDefault="003E758E">
      <w:r>
        <w:rPr>
          <w:b/>
        </w:rPr>
        <w:t xml:space="preserve">Course Title: </w:t>
      </w:r>
      <w:r>
        <w:t>English Composition 1</w:t>
      </w:r>
    </w:p>
    <w:p w:rsidR="00517D24" w:rsidRDefault="003E758E">
      <w:r>
        <w:rPr>
          <w:b/>
        </w:rPr>
        <w:t xml:space="preserve">Subject and Number: </w:t>
      </w:r>
      <w:r>
        <w:t>ENC 1101</w:t>
      </w:r>
    </w:p>
    <w:p w:rsidR="00517D24" w:rsidRDefault="003E758E">
      <w:r>
        <w:rPr>
          <w:b/>
        </w:rPr>
        <w:t xml:space="preserve">Course Description: </w:t>
      </w:r>
      <w:r>
        <w:t xml:space="preserve">This is a required general education core course in college-level writing. The students will learn to compose essays and other works </w:t>
      </w:r>
      <w:r>
        <w:t>using various methods of development. This course fulfills the Gordon Rule writing requirement and must be completed with a grade “C” or better. Prerequisite: Student must meet the Developmental Education reading and writing requirements in State Rule 6A10</w:t>
      </w:r>
      <w:r>
        <w:t>.0315 (by course, placement score, or eligible exemption). Students who complete this course will be awarded the Fundamentals of Written Communication Digital Badge.</w:t>
      </w:r>
    </w:p>
    <w:p w:rsidR="00517D24" w:rsidRDefault="003E758E">
      <w:r>
        <w:rPr>
          <w:b/>
        </w:rPr>
        <w:t xml:space="preserve">Class Number: </w:t>
      </w:r>
      <w:r>
        <w:t>LOREM IPSUM</w:t>
      </w:r>
    </w:p>
    <w:p w:rsidR="00517D24" w:rsidRDefault="003E758E">
      <w:r>
        <w:rPr>
          <w:b/>
        </w:rPr>
        <w:t xml:space="preserve">Term and Year: </w:t>
      </w:r>
      <w:r>
        <w:t>LOREM IPSUM</w:t>
      </w:r>
    </w:p>
    <w:p w:rsidR="00517D24" w:rsidRDefault="003E758E">
      <w:r>
        <w:rPr>
          <w:b/>
        </w:rPr>
        <w:t xml:space="preserve">Course Modality: </w:t>
      </w:r>
      <w:hyperlink r:id="rId7">
        <w:r>
          <w:rPr>
            <w:color w:val="0563C1"/>
          </w:rPr>
          <w:t>MDC Modalities</w:t>
        </w:r>
      </w:hyperlink>
    </w:p>
    <w:p w:rsidR="00517D24" w:rsidRDefault="003E758E">
      <w:pPr>
        <w:pStyle w:val="Heading2"/>
      </w:pPr>
      <w:r>
        <w:t>Instructor Information</w:t>
      </w:r>
    </w:p>
    <w:p w:rsidR="00517D24" w:rsidRDefault="003E758E">
      <w:r>
        <w:rPr>
          <w:b/>
        </w:rPr>
        <w:t xml:space="preserve">Name: </w:t>
      </w:r>
      <w:r>
        <w:t>LOREM IPSUM</w:t>
      </w:r>
    </w:p>
    <w:p w:rsidR="00517D24" w:rsidRDefault="003E758E">
      <w:r>
        <w:rPr>
          <w:b/>
        </w:rPr>
        <w:t xml:space="preserve">Department and Campus: </w:t>
      </w:r>
      <w:r>
        <w:t>LOREM IPSUM</w:t>
      </w:r>
    </w:p>
    <w:p w:rsidR="00517D24" w:rsidRDefault="003E758E">
      <w:r>
        <w:rPr>
          <w:b/>
        </w:rPr>
        <w:t xml:space="preserve">Office location: </w:t>
      </w:r>
      <w:r>
        <w:t>LOREM IPSUM</w:t>
      </w:r>
    </w:p>
    <w:p w:rsidR="00517D24" w:rsidRDefault="003E758E">
      <w:r>
        <w:rPr>
          <w:b/>
        </w:rPr>
        <w:t xml:space="preserve">Office hours: </w:t>
      </w:r>
      <w:r>
        <w:rPr>
          <w:i/>
        </w:rPr>
        <w:t>(communicate course office hours with students)</w:t>
      </w:r>
    </w:p>
    <w:p w:rsidR="00517D24" w:rsidRDefault="003E758E">
      <w:r>
        <w:rPr>
          <w:b/>
        </w:rPr>
        <w:t xml:space="preserve">Phone number: </w:t>
      </w:r>
      <w:r>
        <w:t>123-456</w:t>
      </w:r>
      <w:r>
        <w:t>-7890</w:t>
      </w:r>
    </w:p>
    <w:p w:rsidR="00517D24" w:rsidRDefault="003E758E">
      <w:r>
        <w:rPr>
          <w:b/>
        </w:rPr>
        <w:t xml:space="preserve">Email: </w:t>
      </w:r>
      <w:r>
        <w:t>LOREM IPSUM</w:t>
      </w:r>
    </w:p>
    <w:p w:rsidR="00517D24" w:rsidRDefault="003E758E">
      <w:r>
        <w:rPr>
          <w:b/>
        </w:rPr>
        <w:t xml:space="preserve">Communication Policy: </w:t>
      </w:r>
      <w:r>
        <w:rPr>
          <w:i/>
        </w:rPr>
        <w:t>(Faculty will establish protocols for communication with students)</w:t>
      </w:r>
    </w:p>
    <w:p w:rsidR="00517D24" w:rsidRDefault="003E758E">
      <w:pPr>
        <w:pStyle w:val="Heading2"/>
      </w:pPr>
      <w:r>
        <w:t>Required Textbook, Course Materials, and Technology</w:t>
      </w:r>
    </w:p>
    <w:p w:rsidR="00517D24" w:rsidRDefault="003E758E">
      <w:r>
        <w:rPr>
          <w:b/>
        </w:rPr>
        <w:t xml:space="preserve">Required course materials: </w:t>
      </w:r>
      <w:r>
        <w:rPr>
          <w:i/>
        </w:rPr>
        <w:t>(Textbook(s), library reserves, shark pack, and/or other requir</w:t>
      </w:r>
      <w:r>
        <w:rPr>
          <w:i/>
        </w:rPr>
        <w:t>ed readings. Include ISBN Number and author(s))</w:t>
      </w:r>
    </w:p>
    <w:p w:rsidR="00517D24" w:rsidRDefault="003E758E">
      <w:r>
        <w:rPr>
          <w:b/>
        </w:rPr>
        <w:t xml:space="preserve">List optional/supplemental materials/OER: </w:t>
      </w:r>
      <w:r>
        <w:t>LOREM IPSUM</w:t>
      </w:r>
    </w:p>
    <w:p w:rsidR="00517D24" w:rsidRDefault="003E758E">
      <w:r>
        <w:rPr>
          <w:b/>
        </w:rPr>
        <w:lastRenderedPageBreak/>
        <w:t xml:space="preserve">Technology &amp; Technical Skill Requirements: </w:t>
      </w:r>
      <w:r>
        <w:rPr>
          <w:i/>
        </w:rPr>
        <w:t>(Technology tools or equipment students need to complete this course are included)</w:t>
      </w:r>
    </w:p>
    <w:p w:rsidR="00517D24" w:rsidRDefault="003E758E">
      <w:pPr>
        <w:pStyle w:val="Heading2"/>
      </w:pPr>
      <w:r>
        <w:t xml:space="preserve">Grading Policy &amp; Assessment </w:t>
      </w:r>
      <w:r>
        <w:t>Methods</w:t>
      </w:r>
    </w:p>
    <w:p w:rsidR="00517D24" w:rsidRDefault="003E758E">
      <w:r>
        <w:rPr>
          <w:i/>
        </w:rPr>
        <w:t>List all activities, papers, quizzes, tests, etc. including grading scale used for final grade calculation. Relationships between the final grade and the learner’s accumulated points or percentages/weights breakdown for each assessment or component</w:t>
      </w:r>
      <w:r>
        <w:rPr>
          <w:i/>
        </w:rPr>
        <w:t xml:space="preserve"> of the course grade.</w:t>
      </w:r>
    </w:p>
    <w:p w:rsidR="00517D24" w:rsidRDefault="003E758E">
      <w:r>
        <w:rPr>
          <w:i/>
        </w:rPr>
        <w:t>Include policy on late submissions.</w:t>
      </w:r>
    </w:p>
    <w:p w:rsidR="00517D24" w:rsidRDefault="003E758E">
      <w:r>
        <w:rPr>
          <w:i/>
        </w:rPr>
        <w:t>For MDC Live and MDC Online courses, include policy regarding exams (e.g., ProctorU, Respondus Lockdown and Monitor, etc.)</w:t>
      </w:r>
    </w:p>
    <w:p w:rsidR="00517D24" w:rsidRDefault="003E758E">
      <w:r>
        <w:rPr>
          <w:i/>
        </w:rPr>
        <w:t>If applicable, include guidelines for extra credit.</w:t>
      </w:r>
    </w:p>
    <w:p w:rsidR="00517D24" w:rsidRDefault="003E758E">
      <w:r>
        <w:rPr>
          <w:b/>
        </w:rPr>
        <w:t xml:space="preserve">Incomplete Grades: </w:t>
      </w:r>
      <w:hyperlink r:id="rId8">
        <w:r>
          <w:rPr>
            <w:color w:val="0563C1"/>
          </w:rPr>
          <w:t>View the college’s procedures for Incomplete Grades</w:t>
        </w:r>
      </w:hyperlink>
    </w:p>
    <w:p w:rsidR="00517D24" w:rsidRDefault="003E758E">
      <w:pPr>
        <w:pStyle w:val="Heading2"/>
      </w:pPr>
      <w:r>
        <w:t>Miami Dade College Policies</w:t>
      </w:r>
    </w:p>
    <w:p w:rsidR="00517D24" w:rsidRDefault="003E758E">
      <w:r>
        <w:rPr>
          <w:b/>
        </w:rPr>
        <w:t xml:space="preserve">Attendance Policy: </w:t>
      </w:r>
      <w:r>
        <w:rPr>
          <w:i/>
        </w:rPr>
        <w:t xml:space="preserve">(Faculty include precise statements about illnesses/emergencies/ tardiness, missed </w:t>
      </w:r>
      <w:r>
        <w:rPr>
          <w:i/>
        </w:rPr>
        <w:t>assignments/make-up.)</w:t>
      </w:r>
    </w:p>
    <w:p w:rsidR="00517D24" w:rsidRDefault="003E758E">
      <w:r>
        <w:rPr>
          <w:b/>
        </w:rPr>
        <w:t xml:space="preserve">Students Rights and Responsibilities: </w:t>
      </w:r>
      <w:r>
        <w:rPr>
          <w:i/>
        </w:rPr>
        <w:t>Policies addressing academic integrity and plagiarism, code of conduct, grade appeals, religious observations, services for students with special needs, student complaints, and other.</w:t>
      </w:r>
    </w:p>
    <w:p w:rsidR="00517D24" w:rsidRDefault="003E758E">
      <w:hyperlink r:id="rId9">
        <w:r>
          <w:rPr>
            <w:color w:val="0563C1"/>
          </w:rPr>
          <w:t>For more information, visit the Student’s Rights and Responsibilities page</w:t>
        </w:r>
      </w:hyperlink>
    </w:p>
    <w:p w:rsidR="00517D24" w:rsidRDefault="003E758E">
      <w:pPr>
        <w:pStyle w:val="Heading2"/>
      </w:pPr>
      <w:r>
        <w:t>Available Support Services &amp; Resources</w:t>
      </w:r>
    </w:p>
    <w:p w:rsidR="00517D24" w:rsidRDefault="003E758E">
      <w:pPr>
        <w:pStyle w:val="ListBullet2"/>
      </w:pPr>
      <w:hyperlink r:id="rId10">
        <w:r>
          <w:rPr>
            <w:color w:val="0563C1"/>
          </w:rPr>
          <w:t>Tutoring Labs and Technology – Learning Resources</w:t>
        </w:r>
      </w:hyperlink>
    </w:p>
    <w:p w:rsidR="00517D24" w:rsidRDefault="003E758E">
      <w:pPr>
        <w:pStyle w:val="ListBullet2"/>
      </w:pPr>
      <w:hyperlink r:id="rId11">
        <w:r>
          <w:rPr>
            <w:color w:val="0563C1"/>
          </w:rPr>
          <w:t>Virtual Tutoring through Learning Resources or Smarthinking Online Tutoring</w:t>
        </w:r>
      </w:hyperlink>
    </w:p>
    <w:p w:rsidR="00517D24" w:rsidRDefault="003E758E">
      <w:pPr>
        <w:pStyle w:val="ListBullet2"/>
      </w:pPr>
      <w:hyperlink r:id="rId12">
        <w:r>
          <w:rPr>
            <w:color w:val="0563C1"/>
          </w:rPr>
          <w:t>ACCESS: A Comprehensiv</w:t>
        </w:r>
        <w:r>
          <w:rPr>
            <w:color w:val="0563C1"/>
          </w:rPr>
          <w:t>e Center for Exceptional Student Services</w:t>
        </w:r>
      </w:hyperlink>
    </w:p>
    <w:p w:rsidR="00517D24" w:rsidRDefault="003E758E">
      <w:pPr>
        <w:pStyle w:val="ListBullet2"/>
      </w:pPr>
      <w:hyperlink r:id="rId13">
        <w:r>
          <w:rPr>
            <w:color w:val="0563C1"/>
          </w:rPr>
          <w:t>Advisement</w:t>
        </w:r>
      </w:hyperlink>
    </w:p>
    <w:p w:rsidR="00517D24" w:rsidRDefault="003E758E">
      <w:pPr>
        <w:pStyle w:val="ListBullet2"/>
      </w:pPr>
      <w:hyperlink r:id="rId14">
        <w:r>
          <w:rPr>
            <w:color w:val="0563C1"/>
          </w:rPr>
          <w:t>Password and Login Technical Support</w:t>
        </w:r>
      </w:hyperlink>
    </w:p>
    <w:p w:rsidR="00517D24" w:rsidRDefault="003E758E">
      <w:pPr>
        <w:pStyle w:val="ListBullet2"/>
      </w:pPr>
      <w:hyperlink r:id="rId15">
        <w:r>
          <w:rPr>
            <w:color w:val="0563C1"/>
          </w:rPr>
          <w:t>Technical Support for MDC Live and MDC Online Courses</w:t>
        </w:r>
      </w:hyperlink>
    </w:p>
    <w:p w:rsidR="00517D24" w:rsidRDefault="003E758E">
      <w:pPr>
        <w:pStyle w:val="ListBullet2"/>
      </w:pPr>
      <w:hyperlink r:id="rId16">
        <w:r>
          <w:rPr>
            <w:color w:val="0563C1"/>
          </w:rPr>
          <w:t>SMART Plan</w:t>
        </w:r>
      </w:hyperlink>
    </w:p>
    <w:p w:rsidR="00517D24" w:rsidRDefault="003E758E">
      <w:r>
        <w:rPr>
          <w:i/>
        </w:rPr>
        <w:t>(Faculty select from the above if applicable and include additional course/campus specific resources)</w:t>
      </w:r>
    </w:p>
    <w:p w:rsidR="00517D24" w:rsidRDefault="003E758E">
      <w:pPr>
        <w:pStyle w:val="Heading2"/>
      </w:pPr>
      <w:r>
        <w:t xml:space="preserve">Available Support </w:t>
      </w:r>
      <w:r>
        <w:t>Services &amp; Resources</w:t>
      </w:r>
    </w:p>
    <w:p w:rsidR="00517D24" w:rsidRDefault="003E758E">
      <w:pPr>
        <w:pStyle w:val="ListBullet2"/>
      </w:pPr>
      <w:hyperlink r:id="rId17">
        <w:r>
          <w:rPr>
            <w:color w:val="0563C1"/>
          </w:rPr>
          <w:t>Public Safety - Services</w:t>
        </w:r>
      </w:hyperlink>
    </w:p>
    <w:p w:rsidR="00517D24" w:rsidRDefault="003E758E" w:rsidP="003E758E">
      <w:pPr>
        <w:pStyle w:val="ListBullet2"/>
      </w:pPr>
      <w:hyperlink r:id="rId18">
        <w:r w:rsidRPr="003E758E">
          <w:rPr>
            <w:color w:val="0563C1"/>
          </w:rPr>
          <w:t xml:space="preserve">Hurricane and Other Natural Disasters: </w:t>
        </w:r>
      </w:hyperlink>
      <w:r>
        <w:t xml:space="preserve">In the event of a hurricane or other disaster, </w:t>
      </w:r>
      <w:r>
        <w:t>the class follows the schedule established by the College for campus-based courses. Please visit the MDC website or call the MDC Hotline (305-237-7500) for situation updates.</w:t>
      </w:r>
      <w:bookmarkStart w:id="0" w:name="_GoBack"/>
      <w:bookmarkEnd w:id="0"/>
      <w:r>
        <w:br w:type="page"/>
      </w:r>
    </w:p>
    <w:p w:rsidR="00517D24" w:rsidRDefault="003E758E">
      <w:pPr>
        <w:pStyle w:val="Heading2"/>
      </w:pPr>
      <w:r>
        <w:lastRenderedPageBreak/>
        <w:t>C</w:t>
      </w:r>
      <w:r>
        <w:t>ourse Description</w:t>
      </w:r>
    </w:p>
    <w:p w:rsidR="00517D24" w:rsidRDefault="003E758E">
      <w:r>
        <w:rPr>
          <w:b/>
        </w:rPr>
        <w:t>ENC1101 | English Composition 1 | 3 credits</w:t>
      </w:r>
    </w:p>
    <w:p w:rsidR="00517D24" w:rsidRDefault="003E758E">
      <w:r>
        <w:t>This is a requir</w:t>
      </w:r>
      <w:r>
        <w:t>ed general education core course in college-level writing. The students will learn to compose essays and other works using various methods of development. This course fulfills the Gordon Rule writing requirement and must be completed with a grade “C” or be</w:t>
      </w:r>
      <w:r>
        <w:t>tter. Prerequisite: Student must meet the Developmental Education reading and writing requirements in State Rule 6A10.0315 (by course, placement score, or eligible exemption). Students who complete this course will be awarded the Fundamentals of Written Co</w:t>
      </w:r>
      <w:r>
        <w:t>mmunication Digital Badge.</w:t>
      </w:r>
    </w:p>
    <w:p w:rsidR="00517D24" w:rsidRDefault="003E758E">
      <w:pPr>
        <w:pStyle w:val="Heading2"/>
      </w:pPr>
      <w:r>
        <w:t>Course Competencies</w:t>
      </w:r>
    </w:p>
    <w:p w:rsidR="00517D24" w:rsidRDefault="003E758E">
      <w:pPr>
        <w:pStyle w:val="Heading3"/>
      </w:pPr>
      <w:r>
        <w:t>Competency 1:</w:t>
      </w:r>
    </w:p>
    <w:p w:rsidR="00517D24" w:rsidRDefault="003E758E">
      <w:r>
        <w:t>The student will produce writing by:</w:t>
      </w:r>
    </w:p>
    <w:p w:rsidR="00517D24" w:rsidRDefault="003E758E">
      <w:pPr>
        <w:pStyle w:val="ListBullet"/>
      </w:pPr>
      <w:r>
        <w:t>Choosing and limiting a subject that can be sufficiently developed within a given time, for a specific purpose and audience.</w:t>
      </w:r>
    </w:p>
    <w:p w:rsidR="00517D24" w:rsidRDefault="003E758E">
      <w:pPr>
        <w:pStyle w:val="ListBullet"/>
      </w:pPr>
      <w:r>
        <w:t>Developing and refining pre-writi</w:t>
      </w:r>
      <w:r>
        <w:t>ng and planning skills.</w:t>
      </w:r>
    </w:p>
    <w:p w:rsidR="00517D24" w:rsidRDefault="003E758E">
      <w:pPr>
        <w:pStyle w:val="ListBullet"/>
      </w:pPr>
      <w:r>
        <w:t>Formulating the main point to reflect the subject and purpose of the writing.</w:t>
      </w:r>
    </w:p>
    <w:p w:rsidR="00517D24" w:rsidRDefault="003E758E">
      <w:pPr>
        <w:pStyle w:val="ListBullet"/>
      </w:pPr>
      <w:r>
        <w:t>Supporting the main point with specific details and arranging them logically.</w:t>
      </w:r>
    </w:p>
    <w:p w:rsidR="00517D24" w:rsidRDefault="003E758E">
      <w:pPr>
        <w:pStyle w:val="ListBullet"/>
      </w:pPr>
      <w:r>
        <w:t>Using appropriate transitional devices.</w:t>
      </w:r>
    </w:p>
    <w:p w:rsidR="00517D24" w:rsidRDefault="003E758E">
      <w:pPr>
        <w:pStyle w:val="ListBullet"/>
      </w:pPr>
      <w:r>
        <w:t>Writing an effective conclusion.</w:t>
      </w:r>
    </w:p>
    <w:p w:rsidR="00517D24" w:rsidRDefault="003E758E">
      <w:r>
        <w:rPr>
          <w:u w:val="single"/>
        </w:rPr>
        <w:t>Learning Outcomes</w:t>
      </w:r>
    </w:p>
    <w:p w:rsidR="00517D24" w:rsidRDefault="003E758E">
      <w:pPr>
        <w:pStyle w:val="ListBullet2"/>
      </w:pPr>
      <w:r>
        <w:t>Communication</w:t>
      </w:r>
    </w:p>
    <w:p w:rsidR="00517D24" w:rsidRDefault="003E758E">
      <w:pPr>
        <w:pStyle w:val="ListBullet2"/>
      </w:pPr>
      <w:r>
        <w:t>Critical thinking</w:t>
      </w:r>
    </w:p>
    <w:p w:rsidR="00517D24" w:rsidRDefault="003E758E">
      <w:pPr>
        <w:pStyle w:val="Heading3"/>
      </w:pPr>
      <w:r>
        <w:t>Competency 2:</w:t>
      </w:r>
    </w:p>
    <w:p w:rsidR="00517D24" w:rsidRDefault="003E758E">
      <w:r>
        <w:t>The student will write well-developed essays by:</w:t>
      </w:r>
    </w:p>
    <w:p w:rsidR="00517D24" w:rsidRDefault="003E758E">
      <w:pPr>
        <w:pStyle w:val="ListBullet"/>
      </w:pPr>
      <w:r>
        <w:t>Writing an introductory paragraph.</w:t>
      </w:r>
    </w:p>
    <w:p w:rsidR="00517D24" w:rsidRDefault="003E758E">
      <w:pPr>
        <w:pStyle w:val="ListBullet"/>
      </w:pPr>
      <w:r>
        <w:t>Constructing a thesis statement.</w:t>
      </w:r>
    </w:p>
    <w:p w:rsidR="00517D24" w:rsidRDefault="003E758E">
      <w:pPr>
        <w:pStyle w:val="ListBullet"/>
      </w:pPr>
      <w:r>
        <w:t>Developing the thesis by: Providing adequate support that reflects the abil</w:t>
      </w:r>
      <w:r>
        <w:t>ity to distinguish between generalized and concrete evidence. Arranging the ideas and supporting details in a logical pattern appropriate to the purpose and focus. Patterns may include descriptive, narrative, and evaluative writing, process analysis, compa</w:t>
      </w:r>
      <w:r>
        <w:t>rison and contrast, cause and effect, exemplification, and others. Writing unified prose in which all supporting material is relevant to the thesis. Writing coherent prose and providing effective transitional devices.</w:t>
      </w:r>
    </w:p>
    <w:p w:rsidR="00517D24" w:rsidRDefault="003E758E">
      <w:pPr>
        <w:pStyle w:val="ListBullet"/>
      </w:pPr>
      <w:r>
        <w:t>Writing a concluding paragraph.</w:t>
      </w:r>
    </w:p>
    <w:p w:rsidR="00517D24" w:rsidRDefault="003E758E">
      <w:r>
        <w:rPr>
          <w:u w:val="single"/>
        </w:rPr>
        <w:t>Learning Outcomes</w:t>
      </w:r>
    </w:p>
    <w:p w:rsidR="00517D24" w:rsidRDefault="003E758E">
      <w:pPr>
        <w:pStyle w:val="ListBullet2"/>
      </w:pPr>
      <w:r>
        <w:lastRenderedPageBreak/>
        <w:t>Communication</w:t>
      </w:r>
    </w:p>
    <w:p w:rsidR="00517D24" w:rsidRDefault="003E758E">
      <w:pPr>
        <w:pStyle w:val="ListBullet2"/>
      </w:pPr>
      <w:r>
        <w:t>Critical thinking</w:t>
      </w:r>
    </w:p>
    <w:p w:rsidR="00517D24" w:rsidRDefault="003E758E">
      <w:pPr>
        <w:pStyle w:val="Heading3"/>
      </w:pPr>
      <w:r>
        <w:t>Competency 3:</w:t>
      </w:r>
    </w:p>
    <w:p w:rsidR="00517D24" w:rsidRDefault="003E758E">
      <w:r>
        <w:t>The student will proofread, edit, and revise by:</w:t>
      </w:r>
    </w:p>
    <w:p w:rsidR="00517D24" w:rsidRDefault="003E758E">
      <w:pPr>
        <w:pStyle w:val="ListBullet"/>
      </w:pPr>
      <w:r>
        <w:t>Recognizing and correcting errors in clarity.</w:t>
      </w:r>
    </w:p>
    <w:p w:rsidR="00517D24" w:rsidRDefault="003E758E">
      <w:pPr>
        <w:pStyle w:val="ListBullet"/>
      </w:pPr>
      <w:r>
        <w:t>Recognizing and correcting errors in unity and coherence.</w:t>
      </w:r>
    </w:p>
    <w:p w:rsidR="00517D24" w:rsidRDefault="003E758E">
      <w:pPr>
        <w:pStyle w:val="ListBullet"/>
      </w:pPr>
      <w:r>
        <w:t>Using conventional sentence structure a</w:t>
      </w:r>
      <w:r>
        <w:t>nd correcting sentence errors such as fragments, run-ons, comma splices, misplaced modifiers, and faulty parallelism.</w:t>
      </w:r>
    </w:p>
    <w:p w:rsidR="00517D24" w:rsidRDefault="003E758E">
      <w:pPr>
        <w:pStyle w:val="ListBullet"/>
      </w:pPr>
      <w:r>
        <w:t>Recognizing and correcting errors in utilizing the conventions of standard edited American English including: using standard verb forms an</w:t>
      </w:r>
      <w:r>
        <w:t>d consistent tense. Maintaining agreement between subject and verb, and between pronoun and antecedent. Using correct subjective, objective, and possessive case pronouns. Maintaining consistency in point of view. Using standard spelling, punctuation, and c</w:t>
      </w:r>
      <w:r>
        <w:t>apitalization. Selecting vocabulary appropriate to audience, purpose, and occasion.</w:t>
      </w:r>
    </w:p>
    <w:p w:rsidR="00517D24" w:rsidRDefault="003E758E">
      <w:r>
        <w:rPr>
          <w:u w:val="single"/>
        </w:rPr>
        <w:t>Learning Outcomes</w:t>
      </w:r>
    </w:p>
    <w:p w:rsidR="00517D24" w:rsidRDefault="003E758E">
      <w:pPr>
        <w:pStyle w:val="ListBullet2"/>
      </w:pPr>
      <w:r>
        <w:t>Communication</w:t>
      </w:r>
    </w:p>
    <w:p w:rsidR="00517D24" w:rsidRDefault="003E758E">
      <w:pPr>
        <w:pStyle w:val="ListBullet2"/>
      </w:pPr>
      <w:r>
        <w:t>Critical thinking</w:t>
      </w:r>
    </w:p>
    <w:p w:rsidR="00517D24" w:rsidRDefault="003E758E">
      <w:pPr>
        <w:pStyle w:val="Heading3"/>
      </w:pPr>
      <w:r>
        <w:t>Competency 4:</w:t>
      </w:r>
    </w:p>
    <w:p w:rsidR="00517D24" w:rsidRDefault="003E758E">
      <w:r>
        <w:t>The student will read and respond to selections by:</w:t>
      </w:r>
    </w:p>
    <w:p w:rsidR="00517D24" w:rsidRDefault="003E758E">
      <w:pPr>
        <w:pStyle w:val="ListBullet"/>
      </w:pPr>
      <w:r>
        <w:t xml:space="preserve">Identifying main ideas, purpose, overall organizational </w:t>
      </w:r>
      <w:r>
        <w:t>patterns, supporting details, and elements of coherence in assigned readings.</w:t>
      </w:r>
    </w:p>
    <w:p w:rsidR="00517D24" w:rsidRDefault="003E758E">
      <w:pPr>
        <w:pStyle w:val="ListBullet"/>
      </w:pPr>
      <w:r>
        <w:t>Distinguishing fact from opinion.</w:t>
      </w:r>
    </w:p>
    <w:p w:rsidR="00517D24" w:rsidRDefault="003E758E">
      <w:pPr>
        <w:pStyle w:val="ListBullet"/>
      </w:pPr>
      <w:r>
        <w:t>Summarizing and/or paraphrasing passages.</w:t>
      </w:r>
    </w:p>
    <w:p w:rsidR="00517D24" w:rsidRDefault="003E758E">
      <w:r>
        <w:rPr>
          <w:u w:val="single"/>
        </w:rPr>
        <w:t>Learning Outcomes</w:t>
      </w:r>
    </w:p>
    <w:p w:rsidR="00517D24" w:rsidRDefault="003E758E">
      <w:pPr>
        <w:pStyle w:val="ListBullet2"/>
      </w:pPr>
      <w:r>
        <w:t>Communication</w:t>
      </w:r>
    </w:p>
    <w:p w:rsidR="00517D24" w:rsidRDefault="003E758E">
      <w:pPr>
        <w:pStyle w:val="ListBullet2"/>
      </w:pPr>
      <w:r>
        <w:t>Critical thinking</w:t>
      </w:r>
    </w:p>
    <w:p w:rsidR="00517D24" w:rsidRDefault="003E758E">
      <w:pPr>
        <w:pStyle w:val="ListBullet2"/>
      </w:pPr>
      <w:r>
        <w:t>Information Literacy</w:t>
      </w:r>
    </w:p>
    <w:p w:rsidR="00517D24" w:rsidRDefault="003E758E">
      <w:pPr>
        <w:pStyle w:val="Heading3"/>
      </w:pPr>
      <w:r>
        <w:t>Competency 5:</w:t>
      </w:r>
    </w:p>
    <w:p w:rsidR="00517D24" w:rsidRDefault="003E758E">
      <w:r>
        <w:t xml:space="preserve">The student will </w:t>
      </w:r>
      <w:r>
        <w:t>conduct research by:</w:t>
      </w:r>
    </w:p>
    <w:p w:rsidR="00517D24" w:rsidRDefault="003E758E">
      <w:pPr>
        <w:pStyle w:val="ListBullet"/>
      </w:pPr>
      <w:r>
        <w:t>Assembling sources on a designated subject.</w:t>
      </w:r>
    </w:p>
    <w:p w:rsidR="00517D24" w:rsidRDefault="003E758E">
      <w:pPr>
        <w:pStyle w:val="ListBullet"/>
      </w:pPr>
      <w:r>
        <w:t>Taking effective notes from sources.</w:t>
      </w:r>
    </w:p>
    <w:p w:rsidR="00517D24" w:rsidRDefault="003E758E">
      <w:pPr>
        <w:pStyle w:val="ListBullet"/>
      </w:pPr>
      <w:r>
        <w:t>Recognizing when and how to document sources.</w:t>
      </w:r>
    </w:p>
    <w:p w:rsidR="00517D24" w:rsidRDefault="003E758E">
      <w:r>
        <w:rPr>
          <w:u w:val="single"/>
        </w:rPr>
        <w:t>Learning Outcomes</w:t>
      </w:r>
    </w:p>
    <w:p w:rsidR="00517D24" w:rsidRDefault="003E758E">
      <w:pPr>
        <w:pStyle w:val="ListBullet2"/>
      </w:pPr>
      <w:r>
        <w:lastRenderedPageBreak/>
        <w:t>Communication</w:t>
      </w:r>
    </w:p>
    <w:p w:rsidR="00517D24" w:rsidRDefault="003E758E">
      <w:pPr>
        <w:pStyle w:val="ListBullet2"/>
      </w:pPr>
      <w:r>
        <w:t>Critical thinking</w:t>
      </w:r>
    </w:p>
    <w:p w:rsidR="00517D24" w:rsidRDefault="003E758E">
      <w:pPr>
        <w:pStyle w:val="ListBullet2"/>
      </w:pPr>
      <w:r>
        <w:t>Information Literacy</w:t>
      </w:r>
    </w:p>
    <w:sectPr w:rsidR="00517D24"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E758E"/>
    <w:rsid w:val="00517D24"/>
    <w:rsid w:val="00AA1D8D"/>
    <w:rsid w:val="00B47730"/>
    <w:rsid w:val="00CB0664"/>
    <w:rsid w:val="00E862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567F589-873E-4BE7-86D5-E6F37605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Cs/>
      <w:color w:val="000000"/>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32"/>
      <w:szCs w:val="26"/>
      <w:u w:val="single"/>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0000"/>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c.edu/procedures/Chapter8/8381.pdf" TargetMode="External"/><Relationship Id="rId13" Type="http://schemas.openxmlformats.org/officeDocument/2006/relationships/hyperlink" Target="https://www.mdc.edu/advisement/" TargetMode="External"/><Relationship Id="rId18" Type="http://schemas.openxmlformats.org/officeDocument/2006/relationships/hyperlink" Target="https://www.mdc.edu/safety/in-case-of-emergency/" TargetMode="External"/><Relationship Id="rId3" Type="http://schemas.openxmlformats.org/officeDocument/2006/relationships/styles" Target="styles.xml"/><Relationship Id="rId7" Type="http://schemas.openxmlformats.org/officeDocument/2006/relationships/hyperlink" Target="https://www.mdc.edu/registration/options/default.aspx" TargetMode="External"/><Relationship Id="rId12" Type="http://schemas.openxmlformats.org/officeDocument/2006/relationships/hyperlink" Target="https://www.mdc.edu/access/" TargetMode="External"/><Relationship Id="rId17" Type="http://schemas.openxmlformats.org/officeDocument/2006/relationships/hyperlink" Target="https://www.mdc.edu/safety/services/" TargetMode="External"/><Relationship Id="rId2" Type="http://schemas.openxmlformats.org/officeDocument/2006/relationships/numbering" Target="numbering.xml"/><Relationship Id="rId16" Type="http://schemas.openxmlformats.org/officeDocument/2006/relationships/hyperlink" Target="https://www.mdc.edu/sma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ibraryguides.mdc.edu/BbLTutoring" TargetMode="External"/><Relationship Id="rId5" Type="http://schemas.openxmlformats.org/officeDocument/2006/relationships/webSettings" Target="webSettings.xml"/><Relationship Id="rId15" Type="http://schemas.openxmlformats.org/officeDocument/2006/relationships/hyperlink" Target="https://www.mdc.edu/online/resources/tech-support.aspx" TargetMode="External"/><Relationship Id="rId10" Type="http://schemas.openxmlformats.org/officeDocument/2006/relationships/hyperlink" Target="https://www.mdc.edu/learning-resources/tutoring-labs-technolog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dc.edu/rightsandresponsibilities/" TargetMode="External"/><Relationship Id="rId14" Type="http://schemas.openxmlformats.org/officeDocument/2006/relationships/hyperlink" Target="https://www.mdc.edu/registration/passwor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C74F-F414-4D41-8C83-A01189B4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ENC1101 English Composition 1 Syllabus</dc:title>
  <dc:subject/>
  <dc:creator>Office of Academic Programs</dc:creator>
  <cp:keywords/>
  <dc:description>generated by python-docx</dc:description>
  <cp:lastModifiedBy>Fernandez, Joshua</cp:lastModifiedBy>
  <cp:revision>3</cp:revision>
  <dcterms:created xsi:type="dcterms:W3CDTF">2013-12-23T23:15:00Z</dcterms:created>
  <dcterms:modified xsi:type="dcterms:W3CDTF">2022-11-29T14:25:00Z</dcterms:modified>
  <cp:category/>
</cp:coreProperties>
</file>