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09" w:rsidRPr="00037533" w:rsidRDefault="002F3EC8" w:rsidP="001279F1">
      <w:pPr>
        <w:jc w:val="center"/>
        <w:rPr>
          <w:rFonts w:ascii="Times New Roman" w:hAnsi="Times New Roman" w:cs="Times New Roman"/>
          <w:sz w:val="24"/>
          <w:szCs w:val="24"/>
        </w:rPr>
      </w:pPr>
      <w:r w:rsidRPr="00037533">
        <w:rPr>
          <w:rFonts w:ascii="Times New Roman" w:hAnsi="Times New Roman" w:cs="Times New Roman"/>
          <w:sz w:val="24"/>
          <w:szCs w:val="24"/>
        </w:rPr>
        <w:t>Assessment</w:t>
      </w:r>
      <w:r w:rsidR="00BF02EF">
        <w:rPr>
          <w:rFonts w:ascii="Times New Roman" w:hAnsi="Times New Roman" w:cs="Times New Roman"/>
          <w:sz w:val="24"/>
          <w:szCs w:val="24"/>
        </w:rPr>
        <w:t xml:space="preserve"> Procedure</w:t>
      </w:r>
      <w:r w:rsidR="004B0098">
        <w:rPr>
          <w:rFonts w:ascii="Times New Roman" w:hAnsi="Times New Roman" w:cs="Times New Roman"/>
          <w:sz w:val="24"/>
          <w:szCs w:val="24"/>
        </w:rPr>
        <w:t xml:space="preserve"> </w:t>
      </w:r>
      <w:r w:rsidR="00D93EFD">
        <w:rPr>
          <w:rFonts w:ascii="Times New Roman" w:hAnsi="Times New Roman" w:cs="Times New Roman"/>
          <w:sz w:val="24"/>
          <w:szCs w:val="24"/>
        </w:rPr>
        <w:t>for Software Purchases</w:t>
      </w:r>
    </w:p>
    <w:p w:rsidR="001279F1" w:rsidRPr="00037533" w:rsidRDefault="001279F1" w:rsidP="001279F1">
      <w:pPr>
        <w:jc w:val="center"/>
        <w:rPr>
          <w:rFonts w:ascii="Times New Roman" w:hAnsi="Times New Roman" w:cs="Times New Roman"/>
          <w:sz w:val="24"/>
          <w:szCs w:val="24"/>
        </w:rPr>
      </w:pPr>
      <w:r w:rsidRPr="00037533">
        <w:rPr>
          <w:rFonts w:ascii="Times New Roman" w:hAnsi="Times New Roman" w:cs="Times New Roman"/>
          <w:sz w:val="24"/>
          <w:szCs w:val="24"/>
        </w:rPr>
        <w:t>Office of Information Technology</w:t>
      </w:r>
    </w:p>
    <w:p w:rsidR="001279F1" w:rsidRDefault="00BF02EF" w:rsidP="001279F1">
      <w:pPr>
        <w:jc w:val="center"/>
        <w:rPr>
          <w:rFonts w:ascii="Times New Roman" w:hAnsi="Times New Roman" w:cs="Times New Roman"/>
          <w:sz w:val="24"/>
          <w:szCs w:val="24"/>
        </w:rPr>
      </w:pPr>
      <w:r w:rsidRPr="00BF02EF">
        <w:rPr>
          <w:rFonts w:ascii="Times New Roman" w:hAnsi="Times New Roman" w:cs="Times New Roman"/>
          <w:sz w:val="24"/>
          <w:szCs w:val="24"/>
        </w:rPr>
        <w:t>Miami Dade College</w:t>
      </w:r>
    </w:p>
    <w:p w:rsidR="001279F1" w:rsidRPr="00037533" w:rsidRDefault="001279F1">
      <w:pPr>
        <w:rPr>
          <w:rFonts w:ascii="Times New Roman" w:hAnsi="Times New Roman" w:cs="Times New Roman"/>
          <w:sz w:val="24"/>
          <w:szCs w:val="24"/>
        </w:rPr>
      </w:pPr>
    </w:p>
    <w:p w:rsidR="0047025A" w:rsidRPr="00037533" w:rsidRDefault="001D1018">
      <w:pPr>
        <w:rPr>
          <w:rFonts w:ascii="Times New Roman" w:hAnsi="Times New Roman" w:cs="Times New Roman"/>
          <w:sz w:val="24"/>
          <w:szCs w:val="24"/>
        </w:rPr>
      </w:pPr>
      <w:r w:rsidRPr="00037533">
        <w:rPr>
          <w:rFonts w:ascii="Times New Roman" w:hAnsi="Times New Roman" w:cs="Times New Roman"/>
          <w:sz w:val="24"/>
          <w:szCs w:val="24"/>
        </w:rPr>
        <w:t>While using a commercial off-the-shel</w:t>
      </w:r>
      <w:r w:rsidR="0063709B">
        <w:rPr>
          <w:rFonts w:ascii="Times New Roman" w:hAnsi="Times New Roman" w:cs="Times New Roman"/>
          <w:sz w:val="24"/>
          <w:szCs w:val="24"/>
        </w:rPr>
        <w:t xml:space="preserve">f </w:t>
      </w:r>
      <w:r w:rsidR="00E8531D">
        <w:rPr>
          <w:rFonts w:ascii="Times New Roman" w:hAnsi="Times New Roman" w:cs="Times New Roman"/>
          <w:sz w:val="24"/>
          <w:szCs w:val="24"/>
        </w:rPr>
        <w:t xml:space="preserve">or third party hosted </w:t>
      </w:r>
      <w:r w:rsidRPr="00037533">
        <w:rPr>
          <w:rFonts w:ascii="Times New Roman" w:hAnsi="Times New Roman" w:cs="Times New Roman"/>
          <w:sz w:val="24"/>
          <w:szCs w:val="24"/>
        </w:rPr>
        <w:t xml:space="preserve">software application has many advantages over internal developed solutions, there are </w:t>
      </w:r>
      <w:proofErr w:type="gramStart"/>
      <w:r w:rsidRPr="00037533">
        <w:rPr>
          <w:rFonts w:ascii="Times New Roman" w:hAnsi="Times New Roman" w:cs="Times New Roman"/>
          <w:sz w:val="24"/>
          <w:szCs w:val="24"/>
        </w:rPr>
        <w:t>security</w:t>
      </w:r>
      <w:proofErr w:type="gramEnd"/>
      <w:r w:rsidRPr="00037533">
        <w:rPr>
          <w:rFonts w:ascii="Times New Roman" w:hAnsi="Times New Roman" w:cs="Times New Roman"/>
          <w:sz w:val="24"/>
          <w:szCs w:val="24"/>
        </w:rPr>
        <w:t xml:space="preserve"> concerns must be considered prior to entering a purchase</w:t>
      </w:r>
      <w:r w:rsidR="004B0098">
        <w:rPr>
          <w:rFonts w:ascii="Times New Roman" w:hAnsi="Times New Roman" w:cs="Times New Roman"/>
          <w:sz w:val="24"/>
          <w:szCs w:val="24"/>
        </w:rPr>
        <w:t xml:space="preserve"> and/or use</w:t>
      </w:r>
      <w:r w:rsidRPr="00037533">
        <w:rPr>
          <w:rFonts w:ascii="Times New Roman" w:hAnsi="Times New Roman" w:cs="Times New Roman"/>
          <w:sz w:val="24"/>
          <w:szCs w:val="24"/>
        </w:rPr>
        <w:t xml:space="preserve"> </w:t>
      </w:r>
      <w:r w:rsidR="00E902EB">
        <w:rPr>
          <w:rFonts w:ascii="Times New Roman" w:hAnsi="Times New Roman" w:cs="Times New Roman"/>
          <w:sz w:val="24"/>
          <w:szCs w:val="24"/>
        </w:rPr>
        <w:t>agreement.  The following procedure</w:t>
      </w:r>
      <w:r w:rsidRPr="00037533">
        <w:rPr>
          <w:rFonts w:ascii="Times New Roman" w:hAnsi="Times New Roman" w:cs="Times New Roman"/>
          <w:sz w:val="24"/>
          <w:szCs w:val="24"/>
        </w:rPr>
        <w:t xml:space="preserve"> applies to all third party software applications that are used </w:t>
      </w:r>
      <w:r w:rsidR="00860DC8" w:rsidRPr="00037533">
        <w:rPr>
          <w:rFonts w:ascii="Times New Roman" w:hAnsi="Times New Roman" w:cs="Times New Roman"/>
          <w:sz w:val="24"/>
          <w:szCs w:val="24"/>
        </w:rPr>
        <w:t xml:space="preserve">by the departments </w:t>
      </w:r>
      <w:r w:rsidRPr="00037533">
        <w:rPr>
          <w:rFonts w:ascii="Times New Roman" w:hAnsi="Times New Roman" w:cs="Times New Roman"/>
          <w:sz w:val="24"/>
          <w:szCs w:val="24"/>
        </w:rPr>
        <w:t>to collect, transmit, process, or</w:t>
      </w:r>
      <w:r w:rsidR="00BF02EF">
        <w:rPr>
          <w:rFonts w:ascii="Times New Roman" w:hAnsi="Times New Roman" w:cs="Times New Roman"/>
          <w:sz w:val="24"/>
          <w:szCs w:val="24"/>
        </w:rPr>
        <w:t xml:space="preserve"> store college</w:t>
      </w:r>
      <w:r w:rsidRPr="00037533">
        <w:rPr>
          <w:rFonts w:ascii="Times New Roman" w:hAnsi="Times New Roman" w:cs="Times New Roman"/>
          <w:sz w:val="24"/>
          <w:szCs w:val="24"/>
        </w:rPr>
        <w:t xml:space="preserve"> data.   The software application can be </w:t>
      </w:r>
      <w:r w:rsidR="0047025A" w:rsidRPr="00037533">
        <w:rPr>
          <w:rFonts w:ascii="Times New Roman" w:hAnsi="Times New Roman" w:cs="Times New Roman"/>
          <w:sz w:val="24"/>
          <w:szCs w:val="24"/>
        </w:rPr>
        <w:t xml:space="preserve">administrated remotely by an application service provider and made available to the </w:t>
      </w:r>
      <w:r w:rsidR="00BF02EF">
        <w:rPr>
          <w:rFonts w:ascii="Times New Roman" w:hAnsi="Times New Roman" w:cs="Times New Roman"/>
          <w:sz w:val="24"/>
          <w:szCs w:val="24"/>
        </w:rPr>
        <w:t>College</w:t>
      </w:r>
      <w:r w:rsidR="0047025A" w:rsidRPr="00037533">
        <w:rPr>
          <w:rFonts w:ascii="Times New Roman" w:hAnsi="Times New Roman" w:cs="Times New Roman"/>
          <w:sz w:val="24"/>
          <w:szCs w:val="24"/>
        </w:rPr>
        <w:t xml:space="preserve"> community via an Internet-accessible service.   The software application can also be </w:t>
      </w:r>
      <w:r w:rsidR="00E8531D">
        <w:rPr>
          <w:rFonts w:ascii="Times New Roman" w:hAnsi="Times New Roman" w:cs="Times New Roman"/>
          <w:sz w:val="24"/>
          <w:szCs w:val="24"/>
        </w:rPr>
        <w:t>an off-the-shel</w:t>
      </w:r>
      <w:r w:rsidR="0063709B">
        <w:rPr>
          <w:rFonts w:ascii="Times New Roman" w:hAnsi="Times New Roman" w:cs="Times New Roman"/>
          <w:sz w:val="24"/>
          <w:szCs w:val="24"/>
        </w:rPr>
        <w:t>f</w:t>
      </w:r>
      <w:r w:rsidR="00E8531D">
        <w:rPr>
          <w:rFonts w:ascii="Times New Roman" w:hAnsi="Times New Roman" w:cs="Times New Roman"/>
          <w:sz w:val="24"/>
          <w:szCs w:val="24"/>
        </w:rPr>
        <w:t xml:space="preserve"> solution and </w:t>
      </w:r>
      <w:r w:rsidR="0047025A" w:rsidRPr="00037533">
        <w:rPr>
          <w:rFonts w:ascii="Times New Roman" w:hAnsi="Times New Roman" w:cs="Times New Roman"/>
          <w:sz w:val="24"/>
          <w:szCs w:val="24"/>
        </w:rPr>
        <w:t xml:space="preserve">administrated internally by </w:t>
      </w:r>
      <w:r w:rsidR="00BF02EF">
        <w:rPr>
          <w:rFonts w:ascii="Times New Roman" w:hAnsi="Times New Roman" w:cs="Times New Roman"/>
          <w:sz w:val="24"/>
          <w:szCs w:val="24"/>
        </w:rPr>
        <w:t>college</w:t>
      </w:r>
      <w:r w:rsidR="0047025A" w:rsidRPr="00037533">
        <w:rPr>
          <w:rFonts w:ascii="Times New Roman" w:hAnsi="Times New Roman" w:cs="Times New Roman"/>
          <w:sz w:val="24"/>
          <w:szCs w:val="24"/>
        </w:rPr>
        <w:t xml:space="preserve"> IT staff or department personnel.   </w:t>
      </w:r>
    </w:p>
    <w:p w:rsidR="0047025A" w:rsidRPr="00037533" w:rsidRDefault="0047025A">
      <w:pPr>
        <w:rPr>
          <w:rFonts w:ascii="Times New Roman" w:hAnsi="Times New Roman" w:cs="Times New Roman"/>
          <w:sz w:val="24"/>
          <w:szCs w:val="24"/>
        </w:rPr>
      </w:pPr>
    </w:p>
    <w:p w:rsidR="002B10F0" w:rsidRPr="00037533" w:rsidRDefault="002B10F0" w:rsidP="002B10F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37533">
        <w:rPr>
          <w:rFonts w:ascii="Times New Roman" w:hAnsi="Times New Roman" w:cs="Times New Roman"/>
          <w:color w:val="000000"/>
          <w:sz w:val="24"/>
          <w:szCs w:val="24"/>
        </w:rPr>
        <w:t xml:space="preserve">The decision to incur business expenses for third party services must be evaluated from a cost/benefit perspective.  Department heads should consider other viable options such as internal development or maintenance prior to pursuing of third party services.  A review of both the necessity and cost shall be conducted annually by the department heads to ensure the effective use of </w:t>
      </w:r>
      <w:r w:rsidR="00BF02EF">
        <w:rPr>
          <w:rFonts w:ascii="Times New Roman" w:hAnsi="Times New Roman" w:cs="Times New Roman"/>
          <w:color w:val="000000"/>
          <w:sz w:val="24"/>
          <w:szCs w:val="24"/>
        </w:rPr>
        <w:t>college</w:t>
      </w:r>
      <w:r w:rsidRPr="00037533">
        <w:rPr>
          <w:rFonts w:ascii="Times New Roman" w:hAnsi="Times New Roman" w:cs="Times New Roman"/>
          <w:color w:val="000000"/>
          <w:sz w:val="24"/>
          <w:szCs w:val="24"/>
        </w:rPr>
        <w:t xml:space="preserve"> resources.  </w:t>
      </w:r>
    </w:p>
    <w:p w:rsidR="0047025A" w:rsidRPr="00BF02EF" w:rsidRDefault="0047025A" w:rsidP="00BF02EF">
      <w:pPr>
        <w:autoSpaceDE w:val="0"/>
        <w:autoSpaceDN w:val="0"/>
        <w:adjustRightInd w:val="0"/>
        <w:spacing w:before="120" w:after="120"/>
        <w:rPr>
          <w:color w:val="000000"/>
        </w:rPr>
      </w:pPr>
    </w:p>
    <w:p w:rsidR="0097010F" w:rsidRPr="00037533" w:rsidRDefault="001279F1" w:rsidP="0047025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/>
        <w:rPr>
          <w:color w:val="000000"/>
        </w:rPr>
      </w:pPr>
      <w:r w:rsidRPr="00037533">
        <w:rPr>
          <w:color w:val="000000"/>
        </w:rPr>
        <w:t>Security Assessment</w:t>
      </w:r>
    </w:p>
    <w:p w:rsidR="0047025A" w:rsidRPr="00037533" w:rsidRDefault="0047025A" w:rsidP="0047025A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251FCF" w:rsidRPr="00037533" w:rsidRDefault="00685D24" w:rsidP="00251FCF">
      <w:pPr>
        <w:rPr>
          <w:rFonts w:ascii="Times New Roman" w:hAnsi="Times New Roman" w:cs="Times New Roman"/>
          <w:sz w:val="24"/>
          <w:szCs w:val="24"/>
        </w:rPr>
      </w:pPr>
      <w:r w:rsidRPr="00037533">
        <w:rPr>
          <w:rFonts w:ascii="Times New Roman" w:hAnsi="Times New Roman" w:cs="Times New Roman"/>
          <w:color w:val="000000"/>
          <w:sz w:val="24"/>
          <w:szCs w:val="24"/>
        </w:rPr>
        <w:t xml:space="preserve">The following table shows the scenarios where security assessment </w:t>
      </w:r>
      <w:r w:rsidR="0063709B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Pr="00037533">
        <w:rPr>
          <w:rFonts w:ascii="Times New Roman" w:hAnsi="Times New Roman" w:cs="Times New Roman"/>
          <w:color w:val="000000"/>
          <w:sz w:val="24"/>
          <w:szCs w:val="24"/>
        </w:rPr>
        <w:t xml:space="preserve"> required prior to entering a purchase </w:t>
      </w:r>
      <w:r w:rsidR="000A50B0">
        <w:rPr>
          <w:rFonts w:ascii="Times New Roman" w:hAnsi="Times New Roman" w:cs="Times New Roman"/>
          <w:color w:val="000000"/>
          <w:sz w:val="24"/>
          <w:szCs w:val="24"/>
        </w:rPr>
        <w:t xml:space="preserve">or use </w:t>
      </w:r>
      <w:r w:rsidRPr="00037533">
        <w:rPr>
          <w:rFonts w:ascii="Times New Roman" w:hAnsi="Times New Roman" w:cs="Times New Roman"/>
          <w:color w:val="000000"/>
          <w:sz w:val="24"/>
          <w:szCs w:val="24"/>
        </w:rPr>
        <w:t>agreement.</w:t>
      </w:r>
      <w:r w:rsidR="0026544F" w:rsidRPr="00037533">
        <w:rPr>
          <w:rFonts w:ascii="Times New Roman" w:hAnsi="Times New Roman" w:cs="Times New Roman"/>
          <w:color w:val="000000"/>
          <w:sz w:val="24"/>
          <w:szCs w:val="24"/>
        </w:rPr>
        <w:t xml:space="preserve">   The guideline is</w:t>
      </w:r>
      <w:r w:rsidR="009859E0" w:rsidRPr="00037533">
        <w:rPr>
          <w:rFonts w:ascii="Times New Roman" w:hAnsi="Times New Roman" w:cs="Times New Roman"/>
          <w:color w:val="000000"/>
          <w:sz w:val="24"/>
          <w:szCs w:val="24"/>
        </w:rPr>
        <w:t xml:space="preserve"> based on the type of institutional</w:t>
      </w:r>
      <w:r w:rsidR="0026544F" w:rsidRPr="00037533">
        <w:rPr>
          <w:rFonts w:ascii="Times New Roman" w:hAnsi="Times New Roman" w:cs="Times New Roman"/>
          <w:color w:val="000000"/>
          <w:sz w:val="24"/>
          <w:szCs w:val="24"/>
        </w:rPr>
        <w:t xml:space="preserve"> data</w:t>
      </w:r>
      <w:r w:rsidR="00037533">
        <w:rPr>
          <w:rFonts w:ascii="Times New Roman" w:hAnsi="Times New Roman" w:cs="Times New Roman"/>
          <w:color w:val="000000"/>
          <w:sz w:val="24"/>
          <w:szCs w:val="24"/>
        </w:rPr>
        <w:t xml:space="preserve"> involved</w:t>
      </w:r>
      <w:r w:rsidR="009859E0" w:rsidRPr="000375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6544F" w:rsidRPr="000375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1FCF" w:rsidRPr="00BF02EF">
        <w:rPr>
          <w:rFonts w:ascii="Times New Roman" w:hAnsi="Times New Roman" w:cs="Times New Roman"/>
          <w:sz w:val="24"/>
          <w:szCs w:val="24"/>
        </w:rPr>
        <w:t>Miami Dade College</w:t>
      </w:r>
      <w:r w:rsidR="00251FCF">
        <w:rPr>
          <w:rFonts w:ascii="Times New Roman" w:hAnsi="Times New Roman" w:cs="Times New Roman"/>
          <w:sz w:val="24"/>
          <w:szCs w:val="24"/>
        </w:rPr>
        <w:t xml:space="preserve"> classifies institutional data into four categories: Restricted, Confidential, Internal, and Public.   See </w:t>
      </w:r>
      <w:r w:rsidR="00251FCF" w:rsidRPr="00251FCF">
        <w:rPr>
          <w:rFonts w:ascii="Times New Roman" w:hAnsi="Times New Roman" w:cs="Times New Roman"/>
          <w:i/>
          <w:sz w:val="24"/>
          <w:szCs w:val="24"/>
        </w:rPr>
        <w:t>Data Classification Standards</w:t>
      </w:r>
      <w:r w:rsidR="00251FCF">
        <w:rPr>
          <w:rFonts w:ascii="Times New Roman" w:hAnsi="Times New Roman" w:cs="Times New Roman"/>
          <w:sz w:val="24"/>
          <w:szCs w:val="24"/>
        </w:rPr>
        <w:t xml:space="preserve"> for more information.</w:t>
      </w:r>
    </w:p>
    <w:p w:rsidR="0097010F" w:rsidRPr="00037533" w:rsidRDefault="0097010F" w:rsidP="0097010F">
      <w:pPr>
        <w:pStyle w:val="ListParagraph"/>
        <w:autoSpaceDE w:val="0"/>
        <w:autoSpaceDN w:val="0"/>
        <w:adjustRightInd w:val="0"/>
        <w:spacing w:before="120" w:after="120"/>
        <w:ind w:left="0"/>
        <w:contextualSpacing w:val="0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520"/>
        <w:gridCol w:w="2268"/>
        <w:gridCol w:w="2268"/>
      </w:tblGrid>
      <w:tr w:rsidR="00251FCF" w:rsidRPr="003F6DCC" w:rsidTr="00623A71">
        <w:tc>
          <w:tcPr>
            <w:tcW w:w="2394" w:type="dxa"/>
          </w:tcPr>
          <w:p w:rsidR="00251FCF" w:rsidRPr="003F6DCC" w:rsidRDefault="00BD4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Scenario</w:t>
            </w:r>
          </w:p>
        </w:tc>
        <w:tc>
          <w:tcPr>
            <w:tcW w:w="2394" w:type="dxa"/>
          </w:tcPr>
          <w:p w:rsidR="00251FCF" w:rsidRPr="003F6DCC" w:rsidRDefault="00251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Restricted</w:t>
            </w:r>
          </w:p>
        </w:tc>
        <w:tc>
          <w:tcPr>
            <w:tcW w:w="2520" w:type="dxa"/>
          </w:tcPr>
          <w:p w:rsidR="00251FCF" w:rsidRPr="003F6DCC" w:rsidRDefault="00251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Confidential</w:t>
            </w:r>
          </w:p>
        </w:tc>
        <w:tc>
          <w:tcPr>
            <w:tcW w:w="2268" w:type="dxa"/>
          </w:tcPr>
          <w:p w:rsidR="00251FCF" w:rsidRPr="003F6DCC" w:rsidRDefault="00251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Internal </w:t>
            </w:r>
          </w:p>
        </w:tc>
        <w:tc>
          <w:tcPr>
            <w:tcW w:w="2268" w:type="dxa"/>
          </w:tcPr>
          <w:p w:rsidR="00251FCF" w:rsidRDefault="00251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</w:t>
            </w:r>
          </w:p>
        </w:tc>
      </w:tr>
      <w:tr w:rsidR="00251FCF" w:rsidRPr="003F6DCC" w:rsidTr="00623A71">
        <w:tc>
          <w:tcPr>
            <w:tcW w:w="2394" w:type="dxa"/>
          </w:tcPr>
          <w:p w:rsidR="00251FCF" w:rsidRDefault="00251FCF">
            <w:pPr>
              <w:rPr>
                <w:rFonts w:ascii="Times New Roman" w:hAnsi="Times New Roman" w:cs="Times New Roman"/>
              </w:rPr>
            </w:pPr>
            <w:r w:rsidRPr="003F6DCC">
              <w:rPr>
                <w:rFonts w:ascii="Times New Roman" w:hAnsi="Times New Roman" w:cs="Times New Roman"/>
              </w:rPr>
              <w:t xml:space="preserve">A commercial off-the-shelf application that runs on </w:t>
            </w:r>
            <w:r>
              <w:rPr>
                <w:rFonts w:ascii="Times New Roman" w:hAnsi="Times New Roman" w:cs="Times New Roman"/>
              </w:rPr>
              <w:t>College</w:t>
            </w:r>
            <w:r w:rsidRPr="003F6DCC">
              <w:rPr>
                <w:rFonts w:ascii="Times New Roman" w:hAnsi="Times New Roman" w:cs="Times New Roman"/>
              </w:rPr>
              <w:t xml:space="preserve"> desktop/laptop or academic/administrative department server</w:t>
            </w:r>
          </w:p>
          <w:p w:rsidR="00251FCF" w:rsidRPr="003F6DCC" w:rsidRDefault="00251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251FCF" w:rsidRPr="003F6DCC" w:rsidRDefault="00251FCF" w:rsidP="00BE1D14">
            <w:pPr>
              <w:rPr>
                <w:rFonts w:ascii="Times New Roman" w:hAnsi="Times New Roman" w:cs="Times New Roman"/>
              </w:rPr>
            </w:pPr>
            <w:r w:rsidRPr="003F6DCC">
              <w:rPr>
                <w:rFonts w:ascii="Times New Roman" w:hAnsi="Times New Roman" w:cs="Times New Roman"/>
              </w:rPr>
              <w:t>Not permitted.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20" w:type="dxa"/>
          </w:tcPr>
          <w:p w:rsidR="00251FCF" w:rsidRPr="003F6DCC" w:rsidRDefault="00BD4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 permitted. </w:t>
            </w:r>
          </w:p>
        </w:tc>
        <w:tc>
          <w:tcPr>
            <w:tcW w:w="2268" w:type="dxa"/>
          </w:tcPr>
          <w:p w:rsidR="00251FCF" w:rsidRPr="003F6DCC" w:rsidRDefault="00BD4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action required.</w:t>
            </w:r>
          </w:p>
        </w:tc>
        <w:tc>
          <w:tcPr>
            <w:tcW w:w="2268" w:type="dxa"/>
          </w:tcPr>
          <w:p w:rsidR="00251FCF" w:rsidRPr="003F6DCC" w:rsidRDefault="00251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action required.</w:t>
            </w:r>
          </w:p>
        </w:tc>
      </w:tr>
      <w:tr w:rsidR="00251FCF" w:rsidRPr="003F6DCC" w:rsidTr="00623A71">
        <w:tc>
          <w:tcPr>
            <w:tcW w:w="2394" w:type="dxa"/>
          </w:tcPr>
          <w:p w:rsidR="00251FCF" w:rsidRPr="003F6DCC" w:rsidRDefault="00251FCF" w:rsidP="000A50B0">
            <w:pPr>
              <w:rPr>
                <w:rFonts w:ascii="Times New Roman" w:hAnsi="Times New Roman" w:cs="Times New Roman"/>
              </w:rPr>
            </w:pPr>
            <w:r w:rsidRPr="003F6DCC">
              <w:rPr>
                <w:rFonts w:ascii="Times New Roman" w:hAnsi="Times New Roman" w:cs="Times New Roman"/>
              </w:rPr>
              <w:lastRenderedPageBreak/>
              <w:t>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DCC">
              <w:rPr>
                <w:rFonts w:ascii="Times New Roman" w:hAnsi="Times New Roman" w:cs="Times New Roman"/>
              </w:rPr>
              <w:t>commercial off-</w:t>
            </w:r>
            <w:r>
              <w:rPr>
                <w:rFonts w:ascii="Times New Roman" w:hAnsi="Times New Roman" w:cs="Times New Roman"/>
              </w:rPr>
              <w:t xml:space="preserve">the-shelf application that </w:t>
            </w:r>
            <w:r w:rsidRPr="003F6DCC">
              <w:rPr>
                <w:rFonts w:ascii="Times New Roman" w:hAnsi="Times New Roman" w:cs="Times New Roman"/>
              </w:rPr>
              <w:t>runs on a server housed in</w:t>
            </w:r>
            <w:r>
              <w:rPr>
                <w:rFonts w:ascii="Times New Roman" w:hAnsi="Times New Roman" w:cs="Times New Roman"/>
              </w:rPr>
              <w:t xml:space="preserve"> College data c</w:t>
            </w:r>
            <w:r w:rsidRPr="003F6DCC">
              <w:rPr>
                <w:rFonts w:ascii="Times New Roman" w:hAnsi="Times New Roman" w:cs="Times New Roman"/>
              </w:rPr>
              <w:t xml:space="preserve">enter and supported by </w:t>
            </w:r>
            <w:r>
              <w:rPr>
                <w:rFonts w:ascii="Times New Roman" w:hAnsi="Times New Roman" w:cs="Times New Roman"/>
              </w:rPr>
              <w:t>IT</w:t>
            </w:r>
            <w:r w:rsidRPr="003F6D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4" w:type="dxa"/>
          </w:tcPr>
          <w:p w:rsidR="00251FCF" w:rsidRPr="00CC647A" w:rsidRDefault="006B7724" w:rsidP="00CC647A">
            <w:pPr>
              <w:rPr>
                <w:rFonts w:ascii="Times New Roman" w:hAnsi="Times New Roman" w:cs="Times New Roman"/>
              </w:rPr>
            </w:pPr>
            <w:r w:rsidRPr="00CC647A">
              <w:rPr>
                <w:rFonts w:ascii="Times New Roman" w:hAnsi="Times New Roman" w:cs="Times New Roman"/>
              </w:rPr>
              <w:t>S</w:t>
            </w:r>
            <w:r w:rsidR="00251FCF" w:rsidRPr="00CC647A">
              <w:rPr>
                <w:rFonts w:ascii="Times New Roman" w:hAnsi="Times New Roman" w:cs="Times New Roman"/>
              </w:rPr>
              <w:t>ecurity &amp; operation assessment</w:t>
            </w:r>
            <w:r w:rsidR="00BD4E95" w:rsidRPr="00CC647A">
              <w:rPr>
                <w:rFonts w:ascii="Times New Roman" w:hAnsi="Times New Roman" w:cs="Times New Roman"/>
              </w:rPr>
              <w:t>s</w:t>
            </w:r>
            <w:r w:rsidR="00251FCF" w:rsidRPr="00CC647A">
              <w:rPr>
                <w:rFonts w:ascii="Times New Roman" w:hAnsi="Times New Roman" w:cs="Times New Roman"/>
              </w:rPr>
              <w:t xml:space="preserve"> by IT prior to purchase or adoption is required</w:t>
            </w:r>
            <w:r w:rsidR="00CC647A" w:rsidRPr="00CC647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20" w:type="dxa"/>
          </w:tcPr>
          <w:p w:rsidR="00251FCF" w:rsidRPr="00CC647A" w:rsidRDefault="006B7724" w:rsidP="00CC647A">
            <w:pPr>
              <w:rPr>
                <w:rFonts w:ascii="Times New Roman" w:hAnsi="Times New Roman" w:cs="Times New Roman"/>
              </w:rPr>
            </w:pPr>
            <w:r w:rsidRPr="00CC647A">
              <w:rPr>
                <w:rFonts w:ascii="Times New Roman" w:hAnsi="Times New Roman" w:cs="Times New Roman"/>
              </w:rPr>
              <w:t>S</w:t>
            </w:r>
            <w:r w:rsidR="00251FCF" w:rsidRPr="00CC647A">
              <w:rPr>
                <w:rFonts w:ascii="Times New Roman" w:hAnsi="Times New Roman" w:cs="Times New Roman"/>
              </w:rPr>
              <w:t>ecurity &amp; operation assessment</w:t>
            </w:r>
            <w:r w:rsidR="00BD4E95" w:rsidRPr="00CC647A">
              <w:rPr>
                <w:rFonts w:ascii="Times New Roman" w:hAnsi="Times New Roman" w:cs="Times New Roman"/>
              </w:rPr>
              <w:t>s</w:t>
            </w:r>
            <w:r w:rsidR="00251FCF" w:rsidRPr="00CC647A">
              <w:rPr>
                <w:rFonts w:ascii="Times New Roman" w:hAnsi="Times New Roman" w:cs="Times New Roman"/>
              </w:rPr>
              <w:t xml:space="preserve"> by IT prior to purchase or adoption is required.  </w:t>
            </w:r>
          </w:p>
          <w:p w:rsidR="00251FCF" w:rsidRPr="00CC647A" w:rsidRDefault="00251FCF" w:rsidP="00CC647A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51FCF" w:rsidRPr="00CC647A" w:rsidRDefault="006B7724" w:rsidP="00CC647A">
            <w:pPr>
              <w:rPr>
                <w:rFonts w:ascii="Times New Roman" w:hAnsi="Times New Roman" w:cs="Times New Roman"/>
              </w:rPr>
            </w:pPr>
            <w:r w:rsidRPr="00CC647A">
              <w:rPr>
                <w:rFonts w:ascii="Times New Roman" w:hAnsi="Times New Roman" w:cs="Times New Roman"/>
              </w:rPr>
              <w:t>Security &amp; o</w:t>
            </w:r>
            <w:r w:rsidR="00251FCF" w:rsidRPr="00CC647A">
              <w:rPr>
                <w:rFonts w:ascii="Times New Roman" w:hAnsi="Times New Roman" w:cs="Times New Roman"/>
              </w:rPr>
              <w:t>peration assessment</w:t>
            </w:r>
            <w:r w:rsidR="00BD4E95" w:rsidRPr="00CC647A">
              <w:rPr>
                <w:rFonts w:ascii="Times New Roman" w:hAnsi="Times New Roman" w:cs="Times New Roman"/>
              </w:rPr>
              <w:t>s</w:t>
            </w:r>
            <w:r w:rsidR="00251FCF" w:rsidRPr="00CC647A">
              <w:rPr>
                <w:rFonts w:ascii="Times New Roman" w:hAnsi="Times New Roman" w:cs="Times New Roman"/>
              </w:rPr>
              <w:t xml:space="preserve"> by IT pr</w:t>
            </w:r>
            <w:r w:rsidR="00BD4E95" w:rsidRPr="00CC647A">
              <w:rPr>
                <w:rFonts w:ascii="Times New Roman" w:hAnsi="Times New Roman" w:cs="Times New Roman"/>
              </w:rPr>
              <w:t xml:space="preserve">ior to purchase or adoption is </w:t>
            </w:r>
            <w:r w:rsidR="00251FCF" w:rsidRPr="00CC647A">
              <w:rPr>
                <w:rFonts w:ascii="Times New Roman" w:hAnsi="Times New Roman" w:cs="Times New Roman"/>
              </w:rPr>
              <w:t xml:space="preserve">required.  </w:t>
            </w:r>
          </w:p>
        </w:tc>
        <w:tc>
          <w:tcPr>
            <w:tcW w:w="2268" w:type="dxa"/>
          </w:tcPr>
          <w:p w:rsidR="00251FCF" w:rsidRPr="00CC647A" w:rsidRDefault="006B7724" w:rsidP="00CC647A">
            <w:pPr>
              <w:rPr>
                <w:rFonts w:ascii="Times New Roman" w:hAnsi="Times New Roman" w:cs="Times New Roman"/>
              </w:rPr>
            </w:pPr>
            <w:r w:rsidRPr="00CC647A">
              <w:rPr>
                <w:rFonts w:ascii="Times New Roman" w:hAnsi="Times New Roman" w:cs="Times New Roman"/>
              </w:rPr>
              <w:t>Security &amp; operation assessment</w:t>
            </w:r>
            <w:r w:rsidR="00BD4E95" w:rsidRPr="00CC647A">
              <w:rPr>
                <w:rFonts w:ascii="Times New Roman" w:hAnsi="Times New Roman" w:cs="Times New Roman"/>
              </w:rPr>
              <w:t>s</w:t>
            </w:r>
            <w:r w:rsidRPr="00CC647A">
              <w:rPr>
                <w:rFonts w:ascii="Times New Roman" w:hAnsi="Times New Roman" w:cs="Times New Roman"/>
              </w:rPr>
              <w:t xml:space="preserve"> by IT pr</w:t>
            </w:r>
            <w:r w:rsidR="00BD4E95" w:rsidRPr="00CC647A">
              <w:rPr>
                <w:rFonts w:ascii="Times New Roman" w:hAnsi="Times New Roman" w:cs="Times New Roman"/>
              </w:rPr>
              <w:t xml:space="preserve">ior to purchase or adoption is </w:t>
            </w:r>
            <w:r w:rsidRPr="00CC647A">
              <w:rPr>
                <w:rFonts w:ascii="Times New Roman" w:hAnsi="Times New Roman" w:cs="Times New Roman"/>
              </w:rPr>
              <w:t xml:space="preserve">required.  </w:t>
            </w:r>
          </w:p>
        </w:tc>
      </w:tr>
      <w:tr w:rsidR="00251FCF" w:rsidRPr="003F6DCC" w:rsidTr="00623A71">
        <w:tc>
          <w:tcPr>
            <w:tcW w:w="2394" w:type="dxa"/>
          </w:tcPr>
          <w:p w:rsidR="00251FCF" w:rsidRPr="003F6DCC" w:rsidRDefault="00251FCF" w:rsidP="00B2013E">
            <w:pPr>
              <w:rPr>
                <w:rFonts w:ascii="Times New Roman" w:hAnsi="Times New Roman" w:cs="Times New Roman"/>
              </w:rPr>
            </w:pPr>
            <w:r w:rsidRPr="003F6DCC">
              <w:rPr>
                <w:rFonts w:ascii="Times New Roman" w:hAnsi="Times New Roman" w:cs="Times New Roman"/>
              </w:rPr>
              <w:t>The application is installed in a remote facility that is administrated by a 3</w:t>
            </w:r>
            <w:r w:rsidRPr="003F6DCC">
              <w:rPr>
                <w:rFonts w:ascii="Times New Roman" w:hAnsi="Times New Roman" w:cs="Times New Roman"/>
                <w:vertAlign w:val="superscript"/>
              </w:rPr>
              <w:t>rd</w:t>
            </w:r>
            <w:r w:rsidRPr="003F6DCC">
              <w:rPr>
                <w:rFonts w:ascii="Times New Roman" w:hAnsi="Times New Roman" w:cs="Times New Roman"/>
              </w:rPr>
              <w:t xml:space="preserve"> party vendor.   Access to the application/data transmission occurs over the Internet. </w:t>
            </w:r>
          </w:p>
        </w:tc>
        <w:tc>
          <w:tcPr>
            <w:tcW w:w="2394" w:type="dxa"/>
          </w:tcPr>
          <w:p w:rsidR="00251FCF" w:rsidRPr="003F6DCC" w:rsidRDefault="00251FCF" w:rsidP="003A3BE0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F6DCC">
              <w:rPr>
                <w:sz w:val="22"/>
                <w:szCs w:val="22"/>
              </w:rPr>
              <w:t>Security requ</w:t>
            </w:r>
            <w:r w:rsidR="00CC647A">
              <w:rPr>
                <w:sz w:val="22"/>
                <w:szCs w:val="22"/>
              </w:rPr>
              <w:t>irements in RFP/RFI required.</w:t>
            </w:r>
          </w:p>
          <w:p w:rsidR="00251FCF" w:rsidRPr="003F6DCC" w:rsidRDefault="006B7724" w:rsidP="003A3BE0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251FCF" w:rsidRPr="003F6DCC">
              <w:rPr>
                <w:sz w:val="22"/>
                <w:szCs w:val="22"/>
              </w:rPr>
              <w:t xml:space="preserve">ecurity assessment by </w:t>
            </w:r>
            <w:r w:rsidR="00251FCF">
              <w:rPr>
                <w:sz w:val="22"/>
                <w:szCs w:val="22"/>
              </w:rPr>
              <w:t>IT</w:t>
            </w:r>
            <w:r w:rsidR="00251FCF" w:rsidRPr="003F6DCC">
              <w:rPr>
                <w:sz w:val="22"/>
                <w:szCs w:val="22"/>
              </w:rPr>
              <w:t xml:space="preserve"> prior to purchase or adoption.  </w:t>
            </w:r>
          </w:p>
          <w:p w:rsidR="00251FCF" w:rsidRPr="003F6DCC" w:rsidRDefault="00251FCF" w:rsidP="003A3BE0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F6DCC">
              <w:rPr>
                <w:sz w:val="22"/>
                <w:szCs w:val="22"/>
              </w:rPr>
              <w:t xml:space="preserve">Data must reside on a </w:t>
            </w:r>
            <w:r>
              <w:rPr>
                <w:sz w:val="22"/>
                <w:szCs w:val="22"/>
              </w:rPr>
              <w:t xml:space="preserve">college </w:t>
            </w:r>
            <w:r w:rsidRPr="003F6DCC">
              <w:rPr>
                <w:sz w:val="22"/>
                <w:szCs w:val="22"/>
              </w:rPr>
              <w:t>approved system.</w:t>
            </w:r>
          </w:p>
          <w:p w:rsidR="00251FCF" w:rsidRPr="003F6DCC" w:rsidRDefault="00CC647A" w:rsidP="00CC647A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251FCF" w:rsidRPr="003F6DCC">
              <w:rPr>
                <w:sz w:val="22"/>
                <w:szCs w:val="22"/>
              </w:rPr>
              <w:t xml:space="preserve">ontract required. </w:t>
            </w:r>
          </w:p>
        </w:tc>
        <w:tc>
          <w:tcPr>
            <w:tcW w:w="2520" w:type="dxa"/>
          </w:tcPr>
          <w:p w:rsidR="00251FCF" w:rsidRPr="003F6DCC" w:rsidRDefault="00251FCF" w:rsidP="003A3BE0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F6DCC">
              <w:rPr>
                <w:sz w:val="22"/>
                <w:szCs w:val="22"/>
              </w:rPr>
              <w:t>Security requirements in RFP/RFI required</w:t>
            </w:r>
            <w:r w:rsidR="00CC647A">
              <w:rPr>
                <w:sz w:val="22"/>
                <w:szCs w:val="22"/>
              </w:rPr>
              <w:t>.</w:t>
            </w:r>
          </w:p>
          <w:p w:rsidR="00251FCF" w:rsidRPr="003F6DCC" w:rsidRDefault="006B7724" w:rsidP="003A3BE0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251FCF" w:rsidRPr="003F6DCC">
              <w:rPr>
                <w:sz w:val="22"/>
                <w:szCs w:val="22"/>
              </w:rPr>
              <w:t xml:space="preserve">ecurity assessment by </w:t>
            </w:r>
            <w:r w:rsidR="00251FCF">
              <w:rPr>
                <w:sz w:val="22"/>
                <w:szCs w:val="22"/>
              </w:rPr>
              <w:t>IT</w:t>
            </w:r>
            <w:r w:rsidR="00251FCF" w:rsidRPr="003F6DCC">
              <w:rPr>
                <w:sz w:val="22"/>
                <w:szCs w:val="22"/>
              </w:rPr>
              <w:t xml:space="preserve"> prior to purchase or adoption.  </w:t>
            </w:r>
          </w:p>
          <w:p w:rsidR="00251FCF" w:rsidRPr="003F6DCC" w:rsidRDefault="00251FCF" w:rsidP="000A50B0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F6DCC">
              <w:rPr>
                <w:sz w:val="22"/>
                <w:szCs w:val="22"/>
              </w:rPr>
              <w:t>Da</w:t>
            </w:r>
            <w:r>
              <w:rPr>
                <w:sz w:val="22"/>
                <w:szCs w:val="22"/>
              </w:rPr>
              <w:t xml:space="preserve">ta must reside on a college </w:t>
            </w:r>
            <w:r w:rsidRPr="003F6DCC">
              <w:rPr>
                <w:sz w:val="22"/>
                <w:szCs w:val="22"/>
              </w:rPr>
              <w:t>approved system.</w:t>
            </w:r>
          </w:p>
          <w:p w:rsidR="00251FCF" w:rsidRPr="003F6DCC" w:rsidRDefault="00251FCF" w:rsidP="003A3BE0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F6DCC">
              <w:rPr>
                <w:sz w:val="22"/>
                <w:szCs w:val="22"/>
              </w:rPr>
              <w:t>Contract required.</w:t>
            </w:r>
          </w:p>
          <w:p w:rsidR="00251FCF" w:rsidRPr="003F6DCC" w:rsidRDefault="00251FCF" w:rsidP="000A50B0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51FCF" w:rsidRPr="003F6DCC" w:rsidRDefault="006B7724">
            <w:pPr>
              <w:rPr>
                <w:rFonts w:ascii="Times New Roman" w:hAnsi="Times New Roman" w:cs="Times New Roman"/>
              </w:rPr>
            </w:pPr>
            <w:r w:rsidRPr="003F6DCC">
              <w:rPr>
                <w:rFonts w:ascii="Times New Roman" w:hAnsi="Times New Roman" w:cs="Times New Roman"/>
              </w:rPr>
              <w:t xml:space="preserve">Security assessment by </w:t>
            </w:r>
            <w:r>
              <w:rPr>
                <w:rFonts w:ascii="Times New Roman" w:hAnsi="Times New Roman" w:cs="Times New Roman"/>
              </w:rPr>
              <w:t>IT</w:t>
            </w:r>
            <w:r w:rsidR="00BD4E95">
              <w:rPr>
                <w:rFonts w:ascii="Times New Roman" w:hAnsi="Times New Roman" w:cs="Times New Roman"/>
              </w:rPr>
              <w:t xml:space="preserve"> prior to purchase or adoption is required</w:t>
            </w:r>
            <w:r w:rsidRPr="003F6DCC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2268" w:type="dxa"/>
          </w:tcPr>
          <w:p w:rsidR="00251FCF" w:rsidRPr="003F6DCC" w:rsidRDefault="006B7724">
            <w:pPr>
              <w:rPr>
                <w:rFonts w:ascii="Times New Roman" w:hAnsi="Times New Roman" w:cs="Times New Roman"/>
              </w:rPr>
            </w:pPr>
            <w:r w:rsidRPr="003F6DCC">
              <w:rPr>
                <w:rFonts w:ascii="Times New Roman" w:hAnsi="Times New Roman" w:cs="Times New Roman"/>
              </w:rPr>
              <w:t xml:space="preserve">Security assessment by </w:t>
            </w:r>
            <w:r>
              <w:rPr>
                <w:rFonts w:ascii="Times New Roman" w:hAnsi="Times New Roman" w:cs="Times New Roman"/>
              </w:rPr>
              <w:t>IT</w:t>
            </w:r>
            <w:r w:rsidRPr="003F6DCC">
              <w:rPr>
                <w:rFonts w:ascii="Times New Roman" w:hAnsi="Times New Roman" w:cs="Times New Roman"/>
              </w:rPr>
              <w:t xml:space="preserve"> prior to purchase is recommended but not required.  </w:t>
            </w:r>
          </w:p>
        </w:tc>
      </w:tr>
    </w:tbl>
    <w:p w:rsidR="000A50B0" w:rsidRPr="00037533" w:rsidRDefault="000A50B0">
      <w:pPr>
        <w:rPr>
          <w:rFonts w:ascii="Times New Roman" w:hAnsi="Times New Roman" w:cs="Times New Roman"/>
          <w:sz w:val="24"/>
          <w:szCs w:val="24"/>
        </w:rPr>
      </w:pPr>
    </w:p>
    <w:p w:rsidR="001279F1" w:rsidRPr="00037533" w:rsidRDefault="001279F1">
      <w:pPr>
        <w:rPr>
          <w:rFonts w:ascii="Times New Roman" w:hAnsi="Times New Roman" w:cs="Times New Roman"/>
          <w:sz w:val="24"/>
          <w:szCs w:val="24"/>
        </w:rPr>
      </w:pPr>
    </w:p>
    <w:p w:rsidR="001279F1" w:rsidRPr="00037533" w:rsidRDefault="001279F1" w:rsidP="001279F1">
      <w:pPr>
        <w:pStyle w:val="ListParagraph"/>
        <w:numPr>
          <w:ilvl w:val="0"/>
          <w:numId w:val="2"/>
        </w:numPr>
      </w:pPr>
      <w:r w:rsidRPr="00037533">
        <w:t xml:space="preserve">Compliance with </w:t>
      </w:r>
      <w:r w:rsidR="00BF02EF">
        <w:t>College</w:t>
      </w:r>
      <w:r w:rsidRPr="00037533">
        <w:t xml:space="preserve"> Policies</w:t>
      </w:r>
    </w:p>
    <w:p w:rsidR="001279F1" w:rsidRPr="00037533" w:rsidRDefault="001279F1" w:rsidP="001279F1">
      <w:pPr>
        <w:pStyle w:val="ListParagraph"/>
      </w:pPr>
    </w:p>
    <w:p w:rsidR="00547DA0" w:rsidRPr="00037533" w:rsidRDefault="00547DA0">
      <w:pPr>
        <w:rPr>
          <w:rFonts w:ascii="Times New Roman" w:hAnsi="Times New Roman" w:cs="Times New Roman"/>
          <w:sz w:val="24"/>
          <w:szCs w:val="24"/>
        </w:rPr>
      </w:pPr>
      <w:r w:rsidRPr="00037533">
        <w:rPr>
          <w:rFonts w:ascii="Times New Roman" w:hAnsi="Times New Roman" w:cs="Times New Roman"/>
          <w:sz w:val="24"/>
          <w:szCs w:val="24"/>
        </w:rPr>
        <w:t xml:space="preserve">Prior </w:t>
      </w:r>
      <w:r w:rsidR="0063709B">
        <w:rPr>
          <w:rFonts w:ascii="Times New Roman" w:hAnsi="Times New Roman" w:cs="Times New Roman"/>
          <w:sz w:val="24"/>
          <w:szCs w:val="24"/>
        </w:rPr>
        <w:t xml:space="preserve">to </w:t>
      </w:r>
      <w:r w:rsidRPr="00037533">
        <w:rPr>
          <w:rFonts w:ascii="Times New Roman" w:hAnsi="Times New Roman" w:cs="Times New Roman"/>
          <w:sz w:val="24"/>
          <w:szCs w:val="24"/>
        </w:rPr>
        <w:t>entering</w:t>
      </w:r>
      <w:r w:rsidR="0063709B">
        <w:rPr>
          <w:rFonts w:ascii="Times New Roman" w:hAnsi="Times New Roman" w:cs="Times New Roman"/>
          <w:sz w:val="24"/>
          <w:szCs w:val="24"/>
        </w:rPr>
        <w:t xml:space="preserve"> in</w:t>
      </w:r>
      <w:r w:rsidRPr="00037533">
        <w:rPr>
          <w:rFonts w:ascii="Times New Roman" w:hAnsi="Times New Roman" w:cs="Times New Roman"/>
          <w:sz w:val="24"/>
          <w:szCs w:val="24"/>
        </w:rPr>
        <w:t xml:space="preserve">to the purchase </w:t>
      </w:r>
      <w:r w:rsidR="000A50B0">
        <w:rPr>
          <w:rFonts w:ascii="Times New Roman" w:hAnsi="Times New Roman" w:cs="Times New Roman"/>
          <w:sz w:val="24"/>
          <w:szCs w:val="24"/>
        </w:rPr>
        <w:t xml:space="preserve">or use </w:t>
      </w:r>
      <w:r w:rsidRPr="00037533">
        <w:rPr>
          <w:rFonts w:ascii="Times New Roman" w:hAnsi="Times New Roman" w:cs="Times New Roman"/>
          <w:sz w:val="24"/>
          <w:szCs w:val="24"/>
        </w:rPr>
        <w:t>agreement, t</w:t>
      </w:r>
      <w:r w:rsidR="00B34B8C" w:rsidRPr="00037533">
        <w:rPr>
          <w:rFonts w:ascii="Times New Roman" w:hAnsi="Times New Roman" w:cs="Times New Roman"/>
          <w:sz w:val="24"/>
          <w:szCs w:val="24"/>
        </w:rPr>
        <w:t xml:space="preserve">he department heads must also adhere to the guidelines, criteria, </w:t>
      </w:r>
      <w:r w:rsidR="001279F1" w:rsidRPr="00037533">
        <w:rPr>
          <w:rFonts w:ascii="Times New Roman" w:hAnsi="Times New Roman" w:cs="Times New Roman"/>
          <w:sz w:val="24"/>
          <w:szCs w:val="24"/>
        </w:rPr>
        <w:t xml:space="preserve">and </w:t>
      </w:r>
      <w:r w:rsidR="00B34B8C" w:rsidRPr="00037533">
        <w:rPr>
          <w:rFonts w:ascii="Times New Roman" w:hAnsi="Times New Roman" w:cs="Times New Roman"/>
          <w:sz w:val="24"/>
          <w:szCs w:val="24"/>
        </w:rPr>
        <w:t>conditions</w:t>
      </w:r>
      <w:r w:rsidR="001279F1" w:rsidRPr="00037533">
        <w:rPr>
          <w:rFonts w:ascii="Times New Roman" w:hAnsi="Times New Roman" w:cs="Times New Roman"/>
          <w:sz w:val="24"/>
          <w:szCs w:val="24"/>
        </w:rPr>
        <w:t xml:space="preserve"> stated in </w:t>
      </w:r>
      <w:r w:rsidRPr="00037533">
        <w:rPr>
          <w:rFonts w:ascii="Times New Roman" w:hAnsi="Times New Roman" w:cs="Times New Roman"/>
          <w:sz w:val="24"/>
          <w:szCs w:val="24"/>
        </w:rPr>
        <w:t>the following policies:</w:t>
      </w:r>
    </w:p>
    <w:p w:rsidR="00547DA0" w:rsidRPr="00037533" w:rsidRDefault="00547DA0" w:rsidP="00547DA0">
      <w:pPr>
        <w:rPr>
          <w:rFonts w:ascii="Times New Roman" w:hAnsi="Times New Roman" w:cs="Times New Roman"/>
          <w:sz w:val="24"/>
          <w:szCs w:val="24"/>
        </w:rPr>
      </w:pPr>
    </w:p>
    <w:p w:rsidR="00547DA0" w:rsidRPr="00037533" w:rsidRDefault="00251FCF" w:rsidP="00547DA0">
      <w:pPr>
        <w:pStyle w:val="ListParagraph"/>
        <w:numPr>
          <w:ilvl w:val="0"/>
          <w:numId w:val="7"/>
        </w:numPr>
      </w:pPr>
      <w:r>
        <w:t>MDC</w:t>
      </w:r>
      <w:r w:rsidR="00547DA0" w:rsidRPr="00037533">
        <w:t xml:space="preserve"> Information Security Policy</w:t>
      </w:r>
    </w:p>
    <w:p w:rsidR="00547DA0" w:rsidRPr="00037533" w:rsidRDefault="00547DA0" w:rsidP="00547DA0">
      <w:pPr>
        <w:rPr>
          <w:rFonts w:ascii="Times New Roman" w:hAnsi="Times New Roman" w:cs="Times New Roman"/>
          <w:sz w:val="24"/>
          <w:szCs w:val="24"/>
        </w:rPr>
      </w:pPr>
    </w:p>
    <w:p w:rsidR="0026544F" w:rsidRPr="00037533" w:rsidRDefault="0026544F">
      <w:pPr>
        <w:rPr>
          <w:rFonts w:ascii="Times New Roman" w:hAnsi="Times New Roman" w:cs="Times New Roman"/>
          <w:sz w:val="24"/>
          <w:szCs w:val="24"/>
        </w:rPr>
      </w:pPr>
      <w:r w:rsidRPr="00037533">
        <w:rPr>
          <w:rFonts w:ascii="Times New Roman" w:hAnsi="Times New Roman" w:cs="Times New Roman"/>
          <w:sz w:val="24"/>
          <w:szCs w:val="24"/>
        </w:rPr>
        <w:t xml:space="preserve">Certain types of data require the </w:t>
      </w:r>
      <w:r w:rsidR="00BF02EF">
        <w:rPr>
          <w:rFonts w:ascii="Times New Roman" w:hAnsi="Times New Roman" w:cs="Times New Roman"/>
          <w:sz w:val="24"/>
          <w:szCs w:val="24"/>
        </w:rPr>
        <w:t>college</w:t>
      </w:r>
      <w:r w:rsidRPr="00037533">
        <w:rPr>
          <w:rFonts w:ascii="Times New Roman" w:hAnsi="Times New Roman" w:cs="Times New Roman"/>
          <w:sz w:val="24"/>
          <w:szCs w:val="24"/>
        </w:rPr>
        <w:t xml:space="preserve"> to comply with external mandates.  </w:t>
      </w:r>
      <w:r w:rsidR="003F6DCC" w:rsidRPr="00037533">
        <w:rPr>
          <w:rFonts w:ascii="Times New Roman" w:hAnsi="Times New Roman" w:cs="Times New Roman"/>
          <w:sz w:val="24"/>
          <w:szCs w:val="24"/>
        </w:rPr>
        <w:t xml:space="preserve">All data management processes must conform to all applicable mandates.   </w:t>
      </w:r>
      <w:r w:rsidRPr="00037533">
        <w:rPr>
          <w:rFonts w:ascii="Times New Roman" w:hAnsi="Times New Roman" w:cs="Times New Roman"/>
          <w:sz w:val="24"/>
          <w:szCs w:val="24"/>
        </w:rPr>
        <w:t xml:space="preserve">Such mandates include but </w:t>
      </w:r>
      <w:r w:rsidR="0063709B">
        <w:rPr>
          <w:rFonts w:ascii="Times New Roman" w:hAnsi="Times New Roman" w:cs="Times New Roman"/>
          <w:sz w:val="24"/>
          <w:szCs w:val="24"/>
        </w:rPr>
        <w:t xml:space="preserve">are </w:t>
      </w:r>
      <w:bookmarkStart w:id="0" w:name="_GoBack"/>
      <w:bookmarkEnd w:id="0"/>
      <w:r w:rsidRPr="00037533">
        <w:rPr>
          <w:rFonts w:ascii="Times New Roman" w:hAnsi="Times New Roman" w:cs="Times New Roman"/>
          <w:sz w:val="24"/>
          <w:szCs w:val="24"/>
        </w:rPr>
        <w:t>not limited to:</w:t>
      </w:r>
    </w:p>
    <w:p w:rsidR="0026544F" w:rsidRPr="00037533" w:rsidRDefault="0026544F">
      <w:pPr>
        <w:rPr>
          <w:rFonts w:ascii="Times New Roman" w:hAnsi="Times New Roman" w:cs="Times New Roman"/>
          <w:sz w:val="24"/>
          <w:szCs w:val="24"/>
        </w:rPr>
      </w:pPr>
    </w:p>
    <w:p w:rsidR="001279F1" w:rsidRPr="00037533" w:rsidRDefault="0026544F" w:rsidP="0026544F">
      <w:pPr>
        <w:pStyle w:val="ListParagraph"/>
        <w:numPr>
          <w:ilvl w:val="0"/>
          <w:numId w:val="8"/>
        </w:numPr>
      </w:pPr>
      <w:r w:rsidRPr="00037533">
        <w:t>Federal Educational Rights and Privacy Act (FERPA)</w:t>
      </w:r>
    </w:p>
    <w:p w:rsidR="0026544F" w:rsidRPr="00037533" w:rsidRDefault="0026544F" w:rsidP="0026544F">
      <w:pPr>
        <w:pStyle w:val="ListParagraph"/>
        <w:numPr>
          <w:ilvl w:val="0"/>
          <w:numId w:val="8"/>
        </w:numPr>
      </w:pPr>
      <w:r w:rsidRPr="00037533">
        <w:t>Gramm-Leach-Bliley Act (GLBA)</w:t>
      </w:r>
    </w:p>
    <w:p w:rsidR="0026544F" w:rsidRPr="00037533" w:rsidRDefault="0026544F" w:rsidP="0026544F">
      <w:pPr>
        <w:pStyle w:val="ListParagraph"/>
        <w:numPr>
          <w:ilvl w:val="0"/>
          <w:numId w:val="8"/>
        </w:numPr>
      </w:pPr>
      <w:r w:rsidRPr="00037533">
        <w:t>Health Insurance Portability and Accountability Act (HIPAA)</w:t>
      </w:r>
    </w:p>
    <w:p w:rsidR="0026544F" w:rsidRPr="00037533" w:rsidRDefault="0026544F" w:rsidP="0026544F">
      <w:pPr>
        <w:pStyle w:val="ListParagraph"/>
        <w:numPr>
          <w:ilvl w:val="0"/>
          <w:numId w:val="8"/>
        </w:numPr>
      </w:pPr>
      <w:r w:rsidRPr="00037533">
        <w:t>Payment Card Industry Standards Supporting Documents (PCI)</w:t>
      </w:r>
    </w:p>
    <w:p w:rsidR="0026544F" w:rsidRPr="00037533" w:rsidRDefault="0026544F" w:rsidP="0026544F">
      <w:pPr>
        <w:rPr>
          <w:rFonts w:ascii="Times New Roman" w:hAnsi="Times New Roman" w:cs="Times New Roman"/>
          <w:sz w:val="24"/>
          <w:szCs w:val="24"/>
        </w:rPr>
      </w:pPr>
    </w:p>
    <w:p w:rsidR="003F6DCC" w:rsidRDefault="003F6DCC" w:rsidP="0026544F">
      <w:pPr>
        <w:rPr>
          <w:rFonts w:ascii="Times New Roman" w:hAnsi="Times New Roman" w:cs="Times New Roman"/>
          <w:sz w:val="24"/>
          <w:szCs w:val="24"/>
        </w:rPr>
      </w:pPr>
      <w:r w:rsidRPr="00037533">
        <w:rPr>
          <w:rFonts w:ascii="Times New Roman" w:hAnsi="Times New Roman" w:cs="Times New Roman"/>
          <w:sz w:val="24"/>
          <w:szCs w:val="24"/>
        </w:rPr>
        <w:lastRenderedPageBreak/>
        <w:t>The department heads must also receive approvals from the appropriate data stewards.</w:t>
      </w:r>
    </w:p>
    <w:p w:rsidR="000A50B0" w:rsidRPr="00037533" w:rsidRDefault="003F6DCC" w:rsidP="00265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59E0" w:rsidRPr="00037533" w:rsidRDefault="00251FCF" w:rsidP="0026544F">
      <w:pPr>
        <w:pStyle w:val="ListParagraph"/>
        <w:numPr>
          <w:ilvl w:val="0"/>
          <w:numId w:val="2"/>
        </w:numPr>
      </w:pPr>
      <w:r>
        <w:t>Invitation to Negotiate (ITN</w:t>
      </w:r>
      <w:r w:rsidR="009859E0" w:rsidRPr="00037533">
        <w:t>), Request for Proposal (RFP)</w:t>
      </w:r>
    </w:p>
    <w:p w:rsidR="009859E0" w:rsidRPr="00037533" w:rsidRDefault="009859E0" w:rsidP="009859E0">
      <w:pPr>
        <w:rPr>
          <w:rFonts w:ascii="Times New Roman" w:hAnsi="Times New Roman" w:cs="Times New Roman"/>
          <w:sz w:val="24"/>
          <w:szCs w:val="24"/>
        </w:rPr>
      </w:pPr>
    </w:p>
    <w:p w:rsidR="009859E0" w:rsidRPr="00037533" w:rsidRDefault="009859E0" w:rsidP="009859E0">
      <w:pPr>
        <w:rPr>
          <w:rFonts w:ascii="Times New Roman" w:hAnsi="Times New Roman" w:cs="Times New Roman"/>
          <w:sz w:val="24"/>
          <w:szCs w:val="24"/>
        </w:rPr>
      </w:pPr>
      <w:r w:rsidRPr="00037533">
        <w:rPr>
          <w:rFonts w:ascii="Times New Roman" w:hAnsi="Times New Roman" w:cs="Times New Roman"/>
          <w:sz w:val="24"/>
          <w:szCs w:val="24"/>
        </w:rPr>
        <w:t>The Office of Information Technology will a</w:t>
      </w:r>
      <w:r w:rsidR="00251FCF">
        <w:rPr>
          <w:rFonts w:ascii="Times New Roman" w:hAnsi="Times New Roman" w:cs="Times New Roman"/>
          <w:sz w:val="24"/>
          <w:szCs w:val="24"/>
        </w:rPr>
        <w:t>ssist department in drafting ITN</w:t>
      </w:r>
      <w:r w:rsidRPr="00037533">
        <w:rPr>
          <w:rFonts w:ascii="Times New Roman" w:hAnsi="Times New Roman" w:cs="Times New Roman"/>
          <w:sz w:val="24"/>
          <w:szCs w:val="24"/>
        </w:rPr>
        <w:t xml:space="preserve"> or RFP to include security requirements.   </w:t>
      </w:r>
      <w:r w:rsidR="00350D29">
        <w:rPr>
          <w:rFonts w:ascii="Times New Roman" w:hAnsi="Times New Roman" w:cs="Times New Roman"/>
          <w:sz w:val="24"/>
          <w:szCs w:val="24"/>
        </w:rPr>
        <w:t>IT</w:t>
      </w:r>
      <w:r w:rsidRPr="00037533">
        <w:rPr>
          <w:rFonts w:ascii="Times New Roman" w:hAnsi="Times New Roman" w:cs="Times New Roman"/>
          <w:sz w:val="24"/>
          <w:szCs w:val="24"/>
        </w:rPr>
        <w:t xml:space="preserve"> will also assist departments in evaluating responses from the vendors.  </w:t>
      </w:r>
      <w:r w:rsidR="00251FCF">
        <w:rPr>
          <w:rFonts w:ascii="Times New Roman" w:hAnsi="Times New Roman" w:cs="Times New Roman"/>
          <w:sz w:val="24"/>
          <w:szCs w:val="24"/>
        </w:rPr>
        <w:t xml:space="preserve"> All ITN</w:t>
      </w:r>
      <w:r w:rsidR="003A3BE0" w:rsidRPr="00037533">
        <w:rPr>
          <w:rFonts w:ascii="Times New Roman" w:hAnsi="Times New Roman" w:cs="Times New Roman"/>
          <w:sz w:val="24"/>
          <w:szCs w:val="24"/>
        </w:rPr>
        <w:t xml:space="preserve"> or RFP that involves </w:t>
      </w:r>
      <w:r w:rsidR="00037533" w:rsidRPr="00037533">
        <w:rPr>
          <w:rFonts w:ascii="Times New Roman" w:hAnsi="Times New Roman" w:cs="Times New Roman"/>
          <w:sz w:val="24"/>
          <w:szCs w:val="24"/>
        </w:rPr>
        <w:t>third party vendor handl</w:t>
      </w:r>
      <w:r w:rsidR="00671311" w:rsidRPr="00037533">
        <w:rPr>
          <w:rFonts w:ascii="Times New Roman" w:hAnsi="Times New Roman" w:cs="Times New Roman"/>
          <w:sz w:val="24"/>
          <w:szCs w:val="24"/>
        </w:rPr>
        <w:t xml:space="preserve">ing </w:t>
      </w:r>
      <w:r w:rsidR="00251FCF">
        <w:rPr>
          <w:rFonts w:ascii="Times New Roman" w:hAnsi="Times New Roman" w:cs="Times New Roman"/>
          <w:sz w:val="24"/>
          <w:szCs w:val="24"/>
        </w:rPr>
        <w:t>restricted or confidential</w:t>
      </w:r>
      <w:r w:rsidR="00671311" w:rsidRPr="00037533">
        <w:rPr>
          <w:rFonts w:ascii="Times New Roman" w:hAnsi="Times New Roman" w:cs="Times New Roman"/>
          <w:sz w:val="24"/>
          <w:szCs w:val="24"/>
        </w:rPr>
        <w:t xml:space="preserve"> data must include information security requirements.</w:t>
      </w:r>
      <w:r w:rsidR="00037533" w:rsidRPr="000375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59E0" w:rsidRPr="00037533" w:rsidRDefault="009859E0" w:rsidP="009859E0">
      <w:pPr>
        <w:rPr>
          <w:rFonts w:ascii="Times New Roman" w:hAnsi="Times New Roman" w:cs="Times New Roman"/>
          <w:sz w:val="24"/>
          <w:szCs w:val="24"/>
        </w:rPr>
      </w:pPr>
    </w:p>
    <w:p w:rsidR="00B34B8C" w:rsidRPr="00037533" w:rsidRDefault="001279F1" w:rsidP="0026544F">
      <w:pPr>
        <w:pStyle w:val="ListParagraph"/>
        <w:numPr>
          <w:ilvl w:val="0"/>
          <w:numId w:val="2"/>
        </w:numPr>
      </w:pPr>
      <w:r w:rsidRPr="00037533">
        <w:t>Review of Contract Details</w:t>
      </w:r>
    </w:p>
    <w:p w:rsidR="0026544F" w:rsidRPr="00037533" w:rsidRDefault="0026544F" w:rsidP="0026544F">
      <w:pPr>
        <w:rPr>
          <w:rFonts w:ascii="Times New Roman" w:hAnsi="Times New Roman" w:cs="Times New Roman"/>
          <w:sz w:val="24"/>
          <w:szCs w:val="24"/>
        </w:rPr>
      </w:pPr>
    </w:p>
    <w:p w:rsidR="0026544F" w:rsidRPr="00037533" w:rsidRDefault="0026544F" w:rsidP="0026544F">
      <w:pPr>
        <w:rPr>
          <w:rFonts w:ascii="Times New Roman" w:hAnsi="Times New Roman" w:cs="Times New Roman"/>
          <w:sz w:val="24"/>
          <w:szCs w:val="24"/>
        </w:rPr>
      </w:pPr>
      <w:r w:rsidRPr="00037533">
        <w:rPr>
          <w:rFonts w:ascii="Times New Roman" w:hAnsi="Times New Roman" w:cs="Times New Roman"/>
          <w:sz w:val="24"/>
          <w:szCs w:val="24"/>
        </w:rPr>
        <w:t xml:space="preserve">The Purchasing Office may require specific language in a contract to protect </w:t>
      </w:r>
      <w:r w:rsidR="00BF02EF">
        <w:rPr>
          <w:rFonts w:ascii="Times New Roman" w:hAnsi="Times New Roman" w:cs="Times New Roman"/>
          <w:sz w:val="24"/>
          <w:szCs w:val="24"/>
        </w:rPr>
        <w:t>college</w:t>
      </w:r>
      <w:r w:rsidR="009859E0" w:rsidRPr="00037533">
        <w:rPr>
          <w:rFonts w:ascii="Times New Roman" w:hAnsi="Times New Roman" w:cs="Times New Roman"/>
          <w:sz w:val="24"/>
          <w:szCs w:val="24"/>
        </w:rPr>
        <w:t xml:space="preserve"> interests.   Any contract with a th</w:t>
      </w:r>
      <w:r w:rsidR="00251FCF">
        <w:rPr>
          <w:rFonts w:ascii="Times New Roman" w:hAnsi="Times New Roman" w:cs="Times New Roman"/>
          <w:sz w:val="24"/>
          <w:szCs w:val="24"/>
        </w:rPr>
        <w:t>ird party vendor that involves restricted or confidential</w:t>
      </w:r>
      <w:r w:rsidR="009859E0" w:rsidRPr="00037533">
        <w:rPr>
          <w:rFonts w:ascii="Times New Roman" w:hAnsi="Times New Roman" w:cs="Times New Roman"/>
          <w:sz w:val="24"/>
          <w:szCs w:val="24"/>
        </w:rPr>
        <w:t xml:space="preserve"> data must be reviewed and approved </w:t>
      </w:r>
      <w:r w:rsidR="00037533" w:rsidRPr="00037533">
        <w:rPr>
          <w:rFonts w:ascii="Times New Roman" w:hAnsi="Times New Roman" w:cs="Times New Roman"/>
          <w:sz w:val="24"/>
          <w:szCs w:val="24"/>
        </w:rPr>
        <w:t>by the Purchasing Office.</w:t>
      </w:r>
      <w:r w:rsidR="00251FCF">
        <w:rPr>
          <w:rFonts w:ascii="Times New Roman" w:hAnsi="Times New Roman" w:cs="Times New Roman"/>
          <w:sz w:val="24"/>
          <w:szCs w:val="24"/>
        </w:rPr>
        <w:t xml:space="preserve">  </w:t>
      </w:r>
      <w:r w:rsidR="000A50B0" w:rsidRPr="00037533">
        <w:rPr>
          <w:rFonts w:ascii="Times New Roman" w:hAnsi="Times New Roman" w:cs="Times New Roman"/>
          <w:sz w:val="24"/>
          <w:szCs w:val="24"/>
        </w:rPr>
        <w:t>Questions regarding policy interpretation or compliance should be directed to Office of Information Technology.</w:t>
      </w:r>
      <w:r w:rsidR="009859E0" w:rsidRPr="0003753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6544F" w:rsidRPr="00037533" w:rsidSect="00251FCF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987" w:rsidRDefault="00594987" w:rsidP="00037533">
      <w:pPr>
        <w:spacing w:line="240" w:lineRule="auto"/>
      </w:pPr>
      <w:r>
        <w:separator/>
      </w:r>
    </w:p>
  </w:endnote>
  <w:endnote w:type="continuationSeparator" w:id="0">
    <w:p w:rsidR="00594987" w:rsidRDefault="00594987" w:rsidP="000375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0219"/>
      <w:docPartObj>
        <w:docPartGallery w:val="Page Numbers (Bottom of Page)"/>
        <w:docPartUnique/>
      </w:docPartObj>
    </w:sdtPr>
    <w:sdtEndPr/>
    <w:sdtContent>
      <w:p w:rsidR="00037533" w:rsidRDefault="007341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0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7533" w:rsidRDefault="000375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987" w:rsidRDefault="00594987" w:rsidP="00037533">
      <w:pPr>
        <w:spacing w:line="240" w:lineRule="auto"/>
      </w:pPr>
      <w:r>
        <w:separator/>
      </w:r>
    </w:p>
  </w:footnote>
  <w:footnote w:type="continuationSeparator" w:id="0">
    <w:p w:rsidR="00594987" w:rsidRDefault="00594987" w:rsidP="000375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38AD"/>
    <w:multiLevelType w:val="hybridMultilevel"/>
    <w:tmpl w:val="295E852A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25DC1548"/>
    <w:multiLevelType w:val="hybridMultilevel"/>
    <w:tmpl w:val="41F6C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00B23"/>
    <w:multiLevelType w:val="hybridMultilevel"/>
    <w:tmpl w:val="6430FE4A"/>
    <w:lvl w:ilvl="0" w:tplc="E7CACB44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76C97"/>
    <w:multiLevelType w:val="hybridMultilevel"/>
    <w:tmpl w:val="BB8A1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5CDE1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67BAD136">
      <w:start w:val="1"/>
      <w:numFmt w:val="lowerLetter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201471"/>
    <w:multiLevelType w:val="hybridMultilevel"/>
    <w:tmpl w:val="FD1847FE"/>
    <w:lvl w:ilvl="0" w:tplc="86BC6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406247"/>
    <w:multiLevelType w:val="multilevel"/>
    <w:tmpl w:val="F170E1CA"/>
    <w:lvl w:ilvl="0">
      <w:start w:val="1"/>
      <w:numFmt w:val="upperLetter"/>
      <w:suff w:val="space"/>
      <w:lvlText w:val="Class %1.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3EDD55BF"/>
    <w:multiLevelType w:val="hybridMultilevel"/>
    <w:tmpl w:val="A05C5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B83345"/>
    <w:multiLevelType w:val="hybridMultilevel"/>
    <w:tmpl w:val="124A1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A4502"/>
    <w:multiLevelType w:val="hybridMultilevel"/>
    <w:tmpl w:val="688C4E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FD237B"/>
    <w:multiLevelType w:val="hybridMultilevel"/>
    <w:tmpl w:val="DD92C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6A"/>
    <w:rsid w:val="00037533"/>
    <w:rsid w:val="000A50B0"/>
    <w:rsid w:val="00116C5A"/>
    <w:rsid w:val="001279F1"/>
    <w:rsid w:val="001C4D9D"/>
    <w:rsid w:val="001D1018"/>
    <w:rsid w:val="002344A5"/>
    <w:rsid w:val="00251FCF"/>
    <w:rsid w:val="0025690D"/>
    <w:rsid w:val="0026544F"/>
    <w:rsid w:val="002924C6"/>
    <w:rsid w:val="002B10F0"/>
    <w:rsid w:val="002F3EC8"/>
    <w:rsid w:val="00350D29"/>
    <w:rsid w:val="003A3BE0"/>
    <w:rsid w:val="003F6DCC"/>
    <w:rsid w:val="00400656"/>
    <w:rsid w:val="0047025A"/>
    <w:rsid w:val="00493F09"/>
    <w:rsid w:val="004B0098"/>
    <w:rsid w:val="00504117"/>
    <w:rsid w:val="00547DA0"/>
    <w:rsid w:val="00594987"/>
    <w:rsid w:val="00610659"/>
    <w:rsid w:val="0063191D"/>
    <w:rsid w:val="0063709B"/>
    <w:rsid w:val="00671311"/>
    <w:rsid w:val="00685D24"/>
    <w:rsid w:val="006A2181"/>
    <w:rsid w:val="006B7724"/>
    <w:rsid w:val="00734192"/>
    <w:rsid w:val="00766F33"/>
    <w:rsid w:val="007F506E"/>
    <w:rsid w:val="00860DC8"/>
    <w:rsid w:val="008644DE"/>
    <w:rsid w:val="008C2C9D"/>
    <w:rsid w:val="00924185"/>
    <w:rsid w:val="0096136A"/>
    <w:rsid w:val="0097010F"/>
    <w:rsid w:val="009859E0"/>
    <w:rsid w:val="00A32B2E"/>
    <w:rsid w:val="00B14426"/>
    <w:rsid w:val="00B2013E"/>
    <w:rsid w:val="00B34B8C"/>
    <w:rsid w:val="00BA4919"/>
    <w:rsid w:val="00BD4E95"/>
    <w:rsid w:val="00BE1D14"/>
    <w:rsid w:val="00BF02EF"/>
    <w:rsid w:val="00C36309"/>
    <w:rsid w:val="00CC647A"/>
    <w:rsid w:val="00CF0EA2"/>
    <w:rsid w:val="00D637B4"/>
    <w:rsid w:val="00D67814"/>
    <w:rsid w:val="00D8513A"/>
    <w:rsid w:val="00D93EFD"/>
    <w:rsid w:val="00DA36E5"/>
    <w:rsid w:val="00DD5545"/>
    <w:rsid w:val="00E24520"/>
    <w:rsid w:val="00E45977"/>
    <w:rsid w:val="00E8531D"/>
    <w:rsid w:val="00E902EB"/>
    <w:rsid w:val="00E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36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6136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375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533"/>
  </w:style>
  <w:style w:type="paragraph" w:styleId="Footer">
    <w:name w:val="footer"/>
    <w:basedOn w:val="Normal"/>
    <w:link w:val="FooterChar"/>
    <w:uiPriority w:val="99"/>
    <w:unhideWhenUsed/>
    <w:rsid w:val="000375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5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36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6136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375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533"/>
  </w:style>
  <w:style w:type="paragraph" w:styleId="Footer">
    <w:name w:val="footer"/>
    <w:basedOn w:val="Normal"/>
    <w:link w:val="FooterChar"/>
    <w:uiPriority w:val="99"/>
    <w:unhideWhenUsed/>
    <w:rsid w:val="000375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Connecticut State University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Information Technology</dc:creator>
  <cp:lastModifiedBy>Dickhaus, Bill</cp:lastModifiedBy>
  <cp:revision>2</cp:revision>
  <dcterms:created xsi:type="dcterms:W3CDTF">2014-03-25T17:45:00Z</dcterms:created>
  <dcterms:modified xsi:type="dcterms:W3CDTF">2014-03-25T17:45:00Z</dcterms:modified>
</cp:coreProperties>
</file>